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0BD634" w14:textId="77777777" w:rsidR="007A6612" w:rsidRPr="00446F9D" w:rsidRDefault="007A6612" w:rsidP="007A6612">
      <w:pPr>
        <w:pStyle w:val="Header"/>
        <w:tabs>
          <w:tab w:val="clear" w:pos="4536"/>
        </w:tabs>
        <w:rPr>
          <w:i/>
        </w:rPr>
      </w:pPr>
      <w:r w:rsidRPr="00446F9D">
        <w:t xml:space="preserve">TSG-RAN WG1 </w:t>
      </w:r>
      <w:r w:rsidR="005D1F07">
        <w:t>#9</w:t>
      </w:r>
      <w:r w:rsidR="00AB2EE0">
        <w:t>4</w:t>
      </w:r>
      <w:r w:rsidRPr="00446F9D">
        <w:tab/>
      </w:r>
      <w:r w:rsidR="003F3D9B" w:rsidRPr="003F3D9B">
        <w:t>R1-18</w:t>
      </w:r>
      <w:r w:rsidR="00AB2EE0">
        <w:t>08329</w:t>
      </w:r>
    </w:p>
    <w:p w14:paraId="14257983" w14:textId="77777777" w:rsidR="00E658DA" w:rsidRPr="000833FA" w:rsidRDefault="00AB2EE0" w:rsidP="00E658DA">
      <w:pPr>
        <w:pStyle w:val="Header"/>
        <w:rPr>
          <w:color w:val="000000"/>
        </w:rPr>
      </w:pPr>
      <w:r>
        <w:t>Gothenburg, Sweden, August 20 – 24, 2018</w:t>
      </w:r>
    </w:p>
    <w:p w14:paraId="7CB34A49" w14:textId="77777777" w:rsidR="00A6549D" w:rsidRPr="000833FA" w:rsidRDefault="00A6549D" w:rsidP="00A6549D">
      <w:pPr>
        <w:pStyle w:val="Header"/>
      </w:pPr>
    </w:p>
    <w:p w14:paraId="0535DF77" w14:textId="77777777" w:rsidR="00F618ED" w:rsidRPr="0003368D" w:rsidRDefault="00F618ED" w:rsidP="00F618ED">
      <w:pPr>
        <w:pStyle w:val="Header"/>
        <w:tabs>
          <w:tab w:val="clear" w:pos="4536"/>
          <w:tab w:val="left" w:pos="1800"/>
        </w:tabs>
        <w:ind w:left="1800" w:hanging="1800"/>
      </w:pPr>
      <w:r w:rsidRPr="0003368D">
        <w:t>Source:</w:t>
      </w:r>
      <w:r w:rsidRPr="0003368D">
        <w:tab/>
        <w:t>Ericsson</w:t>
      </w:r>
      <w:r w:rsidR="00E34104">
        <w:t xml:space="preserve"> </w:t>
      </w:r>
    </w:p>
    <w:p w14:paraId="7ECA7EF7" w14:textId="77777777" w:rsidR="00F618ED" w:rsidRPr="00E220C0" w:rsidRDefault="00F618ED" w:rsidP="00F618ED">
      <w:pPr>
        <w:pStyle w:val="Header"/>
        <w:tabs>
          <w:tab w:val="clear" w:pos="4536"/>
          <w:tab w:val="left" w:pos="1800"/>
        </w:tabs>
      </w:pPr>
      <w:r w:rsidRPr="0003368D">
        <w:t>Title:</w:t>
      </w:r>
      <w:bookmarkStart w:id="0" w:name="Title"/>
      <w:bookmarkEnd w:id="0"/>
      <w:r w:rsidRPr="0003368D">
        <w:tab/>
      </w:r>
      <w:r w:rsidR="00AB2EE0" w:rsidRPr="00AB2EE0">
        <w:t>TP to 38.211 on handling of initial BWP configuration</w:t>
      </w:r>
    </w:p>
    <w:p w14:paraId="3975C669" w14:textId="77777777" w:rsidR="00F618ED" w:rsidRPr="00E220C0" w:rsidRDefault="00F618ED" w:rsidP="00F618ED">
      <w:pPr>
        <w:pStyle w:val="Header"/>
        <w:tabs>
          <w:tab w:val="left" w:pos="1800"/>
        </w:tabs>
      </w:pPr>
      <w:r w:rsidRPr="00E220C0">
        <w:t>Agenda Item:</w:t>
      </w:r>
      <w:bookmarkStart w:id="1" w:name="Source"/>
      <w:bookmarkEnd w:id="1"/>
      <w:r w:rsidRPr="00E220C0">
        <w:tab/>
      </w:r>
      <w:bookmarkStart w:id="2" w:name="_Hlk499033340"/>
      <w:r w:rsidR="004F430F">
        <w:t>7</w:t>
      </w:r>
      <w:r w:rsidR="00900A98">
        <w:t>.</w:t>
      </w:r>
      <w:r w:rsidR="00E86352">
        <w:t>1</w:t>
      </w:r>
      <w:bookmarkEnd w:id="2"/>
    </w:p>
    <w:p w14:paraId="76498D92" w14:textId="77777777" w:rsidR="00F618ED" w:rsidRPr="0003368D" w:rsidRDefault="00F618ED" w:rsidP="00F618ED">
      <w:pPr>
        <w:pStyle w:val="Header"/>
        <w:tabs>
          <w:tab w:val="left" w:pos="1800"/>
        </w:tabs>
      </w:pPr>
      <w:r w:rsidRPr="00E220C0">
        <w:t>Document for:</w:t>
      </w:r>
      <w:r w:rsidRPr="0003368D">
        <w:tab/>
      </w:r>
      <w:bookmarkStart w:id="3" w:name="DocumentFor"/>
      <w:bookmarkEnd w:id="3"/>
      <w:r w:rsidRPr="0003368D">
        <w:t xml:space="preserve">Discussion </w:t>
      </w:r>
      <w:r>
        <w:t>and Decision</w:t>
      </w:r>
    </w:p>
    <w:p w14:paraId="7EC91BA9" w14:textId="77777777" w:rsidR="00F618ED" w:rsidRPr="002100D2" w:rsidRDefault="00F618ED" w:rsidP="00F618ED">
      <w:pPr>
        <w:pBdr>
          <w:bottom w:val="single" w:sz="4" w:space="1" w:color="auto"/>
        </w:pBdr>
        <w:tabs>
          <w:tab w:val="left" w:pos="2552"/>
        </w:tabs>
      </w:pPr>
    </w:p>
    <w:p w14:paraId="04372BE4" w14:textId="43F475AE" w:rsidR="00F618ED" w:rsidRDefault="00FF199B" w:rsidP="00D92AB5">
      <w:pPr>
        <w:pStyle w:val="Heading1"/>
      </w:pPr>
      <w:r>
        <w:t>Introduction</w:t>
      </w:r>
    </w:p>
    <w:p w14:paraId="145369C8" w14:textId="321400A7" w:rsidR="001C6384" w:rsidRDefault="001C6384" w:rsidP="001C6384">
      <w:pPr>
        <w:pStyle w:val="BodyText"/>
      </w:pPr>
      <w:r>
        <w:t xml:space="preserve">RAN1 has received </w:t>
      </w:r>
      <w:proofErr w:type="gramStart"/>
      <w:r>
        <w:t>an</w:t>
      </w:r>
      <w:proofErr w:type="gramEnd"/>
      <w:r>
        <w:t xml:space="preserve"> LS from RAN2 (</w:t>
      </w:r>
      <w:r w:rsidRPr="001C6384">
        <w:t>R2-1810943</w:t>
      </w:r>
      <w:r>
        <w:t>, in response to the LS sent from RAN1) asking RAN1 to update their specifications to be in line with the RAN2 decision to support both option 1 and option 2:</w:t>
      </w:r>
    </w:p>
    <w:p w14:paraId="530F3AB3" w14:textId="77777777" w:rsidR="001C6384" w:rsidRDefault="001C6384" w:rsidP="001C6384">
      <w:pPr>
        <w:ind w:left="1440" w:hanging="1440"/>
        <w:rPr>
          <w:rFonts w:ascii="Arial" w:hAnsi="Arial" w:cs="Arial"/>
        </w:rPr>
      </w:pPr>
      <w:r w:rsidRPr="004C0354">
        <w:rPr>
          <w:rFonts w:ascii="Arial" w:hAnsi="Arial" w:cs="Arial"/>
          <w:b/>
        </w:rPr>
        <w:t>Option 1:</w:t>
      </w:r>
      <w:r>
        <w:rPr>
          <w:rFonts w:ascii="Arial" w:hAnsi="Arial" w:cs="Arial"/>
        </w:rPr>
        <w:tab/>
      </w:r>
      <w:r w:rsidRPr="009A20B7">
        <w:rPr>
          <w:rFonts w:ascii="Arial" w:hAnsi="Arial" w:cs="Arial"/>
          <w:i/>
        </w:rPr>
        <w:t>BWP-</w:t>
      </w:r>
      <w:proofErr w:type="spellStart"/>
      <w:r w:rsidRPr="009A20B7">
        <w:rPr>
          <w:rFonts w:ascii="Arial" w:hAnsi="Arial" w:cs="Arial"/>
          <w:i/>
        </w:rPr>
        <w:t>DownlinkCommon</w:t>
      </w:r>
      <w:proofErr w:type="spellEnd"/>
      <w:r w:rsidRPr="009A20B7">
        <w:rPr>
          <w:rFonts w:ascii="Arial" w:hAnsi="Arial" w:cs="Arial"/>
          <w:i/>
        </w:rPr>
        <w:t>/</w:t>
      </w:r>
      <w:proofErr w:type="spellStart"/>
      <w:r w:rsidRPr="009A20B7">
        <w:rPr>
          <w:rFonts w:ascii="Arial" w:hAnsi="Arial" w:cs="Arial"/>
          <w:i/>
        </w:rPr>
        <w:t>UplinkCommon</w:t>
      </w:r>
      <w:proofErr w:type="spellEnd"/>
      <w:r w:rsidRPr="00CA6A37">
        <w:rPr>
          <w:rFonts w:ascii="Arial" w:hAnsi="Arial" w:cs="Arial"/>
        </w:rPr>
        <w:t xml:space="preserve"> for </w:t>
      </w:r>
      <w:proofErr w:type="spellStart"/>
      <w:r w:rsidRPr="009A20B7">
        <w:rPr>
          <w:rFonts w:ascii="Arial" w:hAnsi="Arial" w:cs="Arial"/>
          <w:i/>
        </w:rPr>
        <w:t>initialDownlink</w:t>
      </w:r>
      <w:proofErr w:type="spellEnd"/>
      <w:r w:rsidRPr="009A20B7">
        <w:rPr>
          <w:rFonts w:ascii="Arial" w:hAnsi="Arial" w:cs="Arial"/>
          <w:i/>
        </w:rPr>
        <w:t>/</w:t>
      </w:r>
      <w:proofErr w:type="spellStart"/>
      <w:r w:rsidRPr="009A20B7">
        <w:rPr>
          <w:rFonts w:ascii="Arial" w:hAnsi="Arial" w:cs="Arial"/>
          <w:i/>
        </w:rPr>
        <w:t>UplinkBWP</w:t>
      </w:r>
      <w:proofErr w:type="spellEnd"/>
      <w:r w:rsidRPr="00CA6A37">
        <w:rPr>
          <w:rFonts w:ascii="Arial" w:hAnsi="Arial" w:cs="Arial"/>
        </w:rPr>
        <w:t xml:space="preserve"> (BWP ID #0) plus </w:t>
      </w:r>
      <w:r w:rsidRPr="009A20B7">
        <w:rPr>
          <w:rFonts w:ascii="Arial" w:hAnsi="Arial" w:cs="Arial"/>
          <w:i/>
        </w:rPr>
        <w:t>BWP-Downlink/Uplink</w:t>
      </w:r>
      <w:r w:rsidRPr="00CA6A37">
        <w:rPr>
          <w:rFonts w:ascii="Arial" w:hAnsi="Arial" w:cs="Arial"/>
        </w:rPr>
        <w:t xml:space="preserve"> for one configured </w:t>
      </w:r>
      <w:r w:rsidRPr="009A20B7">
        <w:rPr>
          <w:rFonts w:ascii="Arial" w:hAnsi="Arial" w:cs="Arial"/>
          <w:i/>
        </w:rPr>
        <w:t>downlink/</w:t>
      </w:r>
      <w:proofErr w:type="spellStart"/>
      <w:r w:rsidRPr="009A20B7">
        <w:rPr>
          <w:rFonts w:ascii="Arial" w:hAnsi="Arial" w:cs="Arial"/>
          <w:i/>
        </w:rPr>
        <w:t>uplinkBWP</w:t>
      </w:r>
      <w:proofErr w:type="spellEnd"/>
      <w:r w:rsidRPr="00CA6A37">
        <w:rPr>
          <w:rFonts w:ascii="Arial" w:hAnsi="Arial" w:cs="Arial"/>
        </w:rPr>
        <w:t xml:space="preserve"> (BWP ID #1)</w:t>
      </w:r>
      <w:r>
        <w:rPr>
          <w:rFonts w:ascii="Arial" w:hAnsi="Arial" w:cs="Arial"/>
        </w:rPr>
        <w:t>;</w:t>
      </w:r>
    </w:p>
    <w:p w14:paraId="0A4BCBFB" w14:textId="77777777" w:rsidR="001C6384" w:rsidRPr="00134E90" w:rsidRDefault="001C6384" w:rsidP="001C6384">
      <w:pPr>
        <w:ind w:left="1440" w:hanging="1440"/>
        <w:rPr>
          <w:rFonts w:ascii="Arial" w:hAnsi="Arial" w:cs="Arial"/>
          <w:lang w:eastAsia="ja-JP"/>
        </w:rPr>
      </w:pPr>
      <w:r w:rsidRPr="004C0354">
        <w:rPr>
          <w:rFonts w:ascii="Arial" w:hAnsi="Arial" w:cs="Arial"/>
          <w:b/>
        </w:rPr>
        <w:t>Option 2:</w:t>
      </w:r>
      <w:r>
        <w:rPr>
          <w:rFonts w:ascii="Arial" w:hAnsi="Arial" w:cs="Arial"/>
        </w:rPr>
        <w:tab/>
      </w:r>
      <w:r w:rsidRPr="009A20B7">
        <w:rPr>
          <w:rFonts w:ascii="Arial" w:hAnsi="Arial" w:cs="Arial"/>
          <w:i/>
        </w:rPr>
        <w:t>BWP-</w:t>
      </w:r>
      <w:proofErr w:type="spellStart"/>
      <w:r w:rsidRPr="009A20B7">
        <w:rPr>
          <w:rFonts w:ascii="Arial" w:hAnsi="Arial" w:cs="Arial"/>
          <w:i/>
        </w:rPr>
        <w:t>DownlinkCommon</w:t>
      </w:r>
      <w:proofErr w:type="spellEnd"/>
      <w:r w:rsidRPr="009A20B7">
        <w:rPr>
          <w:rFonts w:ascii="Arial" w:hAnsi="Arial" w:cs="Arial"/>
          <w:i/>
        </w:rPr>
        <w:t>/</w:t>
      </w:r>
      <w:proofErr w:type="spellStart"/>
      <w:r w:rsidRPr="009A20B7">
        <w:rPr>
          <w:rFonts w:ascii="Arial" w:hAnsi="Arial" w:cs="Arial"/>
          <w:i/>
        </w:rPr>
        <w:t>UplinkCommon</w:t>
      </w:r>
      <w:proofErr w:type="spellEnd"/>
      <w:r w:rsidRPr="00CA6A37">
        <w:rPr>
          <w:rFonts w:ascii="Arial" w:hAnsi="Arial" w:cs="Arial"/>
        </w:rPr>
        <w:t xml:space="preserve"> and </w:t>
      </w:r>
      <w:r w:rsidRPr="009A20B7">
        <w:rPr>
          <w:rFonts w:ascii="Arial" w:hAnsi="Arial" w:cs="Arial"/>
          <w:i/>
        </w:rPr>
        <w:t>BWP-</w:t>
      </w:r>
      <w:proofErr w:type="spellStart"/>
      <w:r w:rsidRPr="009A20B7">
        <w:rPr>
          <w:rFonts w:ascii="Arial" w:hAnsi="Arial" w:cs="Arial"/>
          <w:i/>
        </w:rPr>
        <w:t>DownlinkDedicated</w:t>
      </w:r>
      <w:proofErr w:type="spellEnd"/>
      <w:r w:rsidRPr="009A20B7">
        <w:rPr>
          <w:rFonts w:ascii="Arial" w:hAnsi="Arial" w:cs="Arial"/>
          <w:i/>
        </w:rPr>
        <w:t>/</w:t>
      </w:r>
      <w:proofErr w:type="spellStart"/>
      <w:r w:rsidRPr="009A20B7">
        <w:rPr>
          <w:rFonts w:ascii="Arial" w:hAnsi="Arial" w:cs="Arial"/>
          <w:i/>
        </w:rPr>
        <w:t>UplinkDedicated</w:t>
      </w:r>
      <w:proofErr w:type="spellEnd"/>
      <w:r w:rsidRPr="00CA6A37">
        <w:rPr>
          <w:rFonts w:ascii="Arial" w:hAnsi="Arial" w:cs="Arial"/>
        </w:rPr>
        <w:t xml:space="preserve"> for </w:t>
      </w:r>
      <w:proofErr w:type="spellStart"/>
      <w:r w:rsidRPr="009A20B7">
        <w:rPr>
          <w:rFonts w:ascii="Arial" w:hAnsi="Arial" w:cs="Arial"/>
          <w:i/>
        </w:rPr>
        <w:t>initialDownlink</w:t>
      </w:r>
      <w:proofErr w:type="spellEnd"/>
      <w:r w:rsidRPr="009A20B7">
        <w:rPr>
          <w:rFonts w:ascii="Arial" w:hAnsi="Arial" w:cs="Arial"/>
          <w:i/>
        </w:rPr>
        <w:t>/</w:t>
      </w:r>
      <w:proofErr w:type="spellStart"/>
      <w:r w:rsidRPr="009A20B7">
        <w:rPr>
          <w:rFonts w:ascii="Arial" w:hAnsi="Arial" w:cs="Arial"/>
          <w:i/>
        </w:rPr>
        <w:t>UplinkBWP</w:t>
      </w:r>
      <w:proofErr w:type="spellEnd"/>
      <w:r w:rsidRPr="00CA6A37">
        <w:rPr>
          <w:rFonts w:ascii="Arial" w:hAnsi="Arial" w:cs="Arial"/>
        </w:rPr>
        <w:t xml:space="preserve"> (BWP ID #0)</w:t>
      </w:r>
      <w:r>
        <w:rPr>
          <w:rFonts w:ascii="Arial" w:hAnsi="Arial" w:cs="Arial"/>
        </w:rPr>
        <w:t>.</w:t>
      </w:r>
    </w:p>
    <w:p w14:paraId="33298117" w14:textId="18DD25B1" w:rsidR="001C6384" w:rsidRDefault="001C6384" w:rsidP="001C6384">
      <w:pPr>
        <w:pStyle w:val="BodyText"/>
      </w:pPr>
    </w:p>
    <w:p w14:paraId="4EB1B84A" w14:textId="77777777" w:rsidR="001C6384" w:rsidRDefault="001C6384" w:rsidP="001C6384">
      <w:pPr>
        <w:pStyle w:val="BodyText"/>
      </w:pPr>
      <w:r>
        <w:t>This may have some impact on 38.211 and 38.213. For 38.211, the impact is rather limited and in the next section the changed necessary in the PRACH OFDM signal generation section are outlined.</w:t>
      </w:r>
    </w:p>
    <w:p w14:paraId="49DE9038" w14:textId="32B1FF53" w:rsidR="001C6384" w:rsidRDefault="001C6384" w:rsidP="001C6384">
      <w:pPr>
        <w:pStyle w:val="BodyText"/>
      </w:pPr>
      <w:r>
        <w:t xml:space="preserve">In general, the size of CORESET #0 has sometimes been used as being synonymous with the size of the initial BWP (BWP #0) but with the response from RAN2 this is not necessarily true. However, at this stage this observation does not seem to impact 38.211. </w:t>
      </w:r>
    </w:p>
    <w:p w14:paraId="688FC1A1" w14:textId="7E74D374" w:rsidR="00B36837" w:rsidRDefault="001C6384" w:rsidP="00B36837">
      <w:pPr>
        <w:pStyle w:val="Heading1"/>
      </w:pPr>
      <w:r>
        <w:t>Text proposal for 38.211</w:t>
      </w:r>
    </w:p>
    <w:p w14:paraId="682D1CE5" w14:textId="77777777" w:rsidR="00B36837" w:rsidRPr="00D73D64" w:rsidRDefault="00B36837" w:rsidP="00B36837">
      <w:pPr>
        <w:pStyle w:val="Heading3"/>
        <w:numPr>
          <w:ilvl w:val="0"/>
          <w:numId w:val="0"/>
        </w:numPr>
        <w:ind w:left="1304" w:hanging="1304"/>
      </w:pPr>
      <w:bookmarkStart w:id="4" w:name="_Toc516767268"/>
      <w:r>
        <w:t>5.3.2</w:t>
      </w:r>
      <w:r>
        <w:tab/>
        <w:t>OFDM baseband signal generation for PRACH</w:t>
      </w:r>
      <w:bookmarkEnd w:id="4"/>
    </w:p>
    <w:p w14:paraId="25BA78D3" w14:textId="77777777" w:rsidR="00B36837" w:rsidRDefault="00B36837" w:rsidP="00B36837">
      <w:r w:rsidRPr="00C12953">
        <w:t xml:space="preserve">The time-continuous signal </w:t>
      </w:r>
      <w:r w:rsidRPr="0025210E">
        <w:rPr>
          <w:position w:val="-12"/>
        </w:rPr>
        <w:object w:dxaOrig="720" w:dyaOrig="360" w14:anchorId="323DB1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75pt;height:20.25pt" o:ole="">
            <v:imagedata r:id="rId8" o:title=""/>
          </v:shape>
          <o:OLEObject Type="Embed" ProgID="Equation.3" ShapeID="_x0000_i1025" DrawAspect="Content" ObjectID="_1595427297" r:id="rId9"/>
        </w:object>
      </w:r>
      <w:r w:rsidRPr="00C12953">
        <w:t xml:space="preserve"> on </w:t>
      </w:r>
      <w:r>
        <w:t xml:space="preserve">antenna port </w:t>
      </w:r>
      <w:r w:rsidRPr="004C0A64">
        <w:rPr>
          <w:position w:val="-10"/>
        </w:rPr>
        <w:object w:dxaOrig="200" w:dyaOrig="240" w14:anchorId="03C827CD">
          <v:shape id="_x0000_i1026" type="#_x0000_t75" style="width:9.75pt;height:12pt" o:ole="">
            <v:imagedata r:id="rId10" o:title=""/>
          </v:shape>
          <o:OLEObject Type="Embed" ProgID="Equation.3" ShapeID="_x0000_i1026" DrawAspect="Content" ObjectID="_1595427298" r:id="rId11"/>
        </w:object>
      </w:r>
      <w:r w:rsidRPr="00C12953">
        <w:t xml:space="preserve"> </w:t>
      </w:r>
      <w:r>
        <w:t>for PRACH is</w:t>
      </w:r>
      <w:r w:rsidRPr="00C12953">
        <w:t xml:space="preserve"> defined by</w:t>
      </w:r>
    </w:p>
    <w:p w14:paraId="7DBA0540" w14:textId="77777777" w:rsidR="00B36837" w:rsidRDefault="00B36837" w:rsidP="00B36837">
      <w:pPr>
        <w:pStyle w:val="EQ"/>
        <w:jc w:val="center"/>
      </w:pPr>
      <w:r w:rsidRPr="000B0038">
        <w:rPr>
          <w:position w:val="-78"/>
        </w:rPr>
        <w:object w:dxaOrig="5000" w:dyaOrig="1660" w14:anchorId="30AB9FDE">
          <v:shape id="_x0000_i1027" type="#_x0000_t75" style="width:252.75pt;height:86.25pt" o:ole="">
            <v:imagedata r:id="rId12" o:title=""/>
          </v:shape>
          <o:OLEObject Type="Embed" ProgID="Equation.DSMT4" ShapeID="_x0000_i1027" DrawAspect="Content" ObjectID="_1595427299" r:id="rId13"/>
        </w:object>
      </w:r>
    </w:p>
    <w:p w14:paraId="646856D8" w14:textId="77777777" w:rsidR="00B36837" w:rsidRDefault="00B36837" w:rsidP="00B36837">
      <w:r>
        <w:t xml:space="preserve">where </w:t>
      </w:r>
      <w:r w:rsidRPr="003A4CC8">
        <w:rPr>
          <w:position w:val="-12"/>
        </w:rPr>
        <w:object w:dxaOrig="2520" w:dyaOrig="360" w14:anchorId="4320CA8F">
          <v:shape id="_x0000_i1028" type="#_x0000_t75" style="width:126pt;height:18pt" o:ole="">
            <v:imagedata r:id="rId14" o:title=""/>
          </v:shape>
          <o:OLEObject Type="Embed" ProgID="Equation.3" ShapeID="_x0000_i1028" DrawAspect="Content" ObjectID="_1595427300" r:id="rId15"/>
        </w:object>
      </w:r>
      <w:r>
        <w:t xml:space="preserve"> </w:t>
      </w:r>
      <w:r w:rsidRPr="00C12953">
        <w:t>and</w:t>
      </w:r>
      <w:r>
        <w:t xml:space="preserve"> </w:t>
      </w:r>
    </w:p>
    <w:p w14:paraId="11D87A35" w14:textId="77777777" w:rsidR="00B36837" w:rsidRDefault="00B36837" w:rsidP="00B36837">
      <w:pPr>
        <w:pStyle w:val="B1"/>
      </w:pPr>
      <w:r>
        <w:t>-</w:t>
      </w:r>
      <w:r>
        <w:tab/>
      </w:r>
      <w:r w:rsidRPr="00F94504">
        <w:rPr>
          <w:position w:val="-6"/>
        </w:rPr>
        <w:object w:dxaOrig="200" w:dyaOrig="300" w14:anchorId="5C07B1A8">
          <v:shape id="_x0000_i1029" type="#_x0000_t75" style="width:9.75pt;height:15pt" o:ole="">
            <v:imagedata r:id="rId16" o:title=""/>
          </v:shape>
          <o:OLEObject Type="Embed" ProgID="Equation.3" ShapeID="_x0000_i1029" DrawAspect="Content" ObjectID="_1595427301" r:id="rId17"/>
        </w:object>
      </w:r>
      <w:r>
        <w:t xml:space="preserve"> is given by clause 6.3.3; </w:t>
      </w:r>
    </w:p>
    <w:p w14:paraId="38D4FFA6" w14:textId="77777777" w:rsidR="00B36837" w:rsidRPr="00582BDF" w:rsidRDefault="00B36837" w:rsidP="00B36837">
      <w:pPr>
        <w:pStyle w:val="B1"/>
      </w:pPr>
      <w:r>
        <w:t>-</w:t>
      </w:r>
      <w:r>
        <w:tab/>
      </w:r>
      <w:r w:rsidRPr="00FB68E4">
        <w:rPr>
          <w:position w:val="-10"/>
        </w:rPr>
        <w:object w:dxaOrig="300" w:dyaOrig="300" w14:anchorId="2E374E7A">
          <v:shape id="_x0000_i1030" type="#_x0000_t75" style="width:15pt;height:15pt" o:ole="">
            <v:imagedata r:id="rId18" o:title=""/>
          </v:shape>
          <o:OLEObject Type="Embed" ProgID="Equation.3" ShapeID="_x0000_i1030" DrawAspect="Content" ObjectID="_1595427302" r:id="rId19"/>
        </w:object>
      </w:r>
      <w:r w:rsidRPr="00FB68E4">
        <w:t xml:space="preserve"> is the subcarrier spacing of the initial active uplink bandwidth part during initial access. Otherwise, </w:t>
      </w:r>
      <w:r w:rsidRPr="00FB68E4">
        <w:rPr>
          <w:position w:val="-10"/>
        </w:rPr>
        <w:object w:dxaOrig="300" w:dyaOrig="300" w14:anchorId="1ACA6CFF">
          <v:shape id="_x0000_i1031" type="#_x0000_t75" style="width:15pt;height:15pt" o:ole="">
            <v:imagedata r:id="rId18" o:title=""/>
          </v:shape>
          <o:OLEObject Type="Embed" ProgID="Equation.3" ShapeID="_x0000_i1031" DrawAspect="Content" ObjectID="_1595427303" r:id="rId20"/>
        </w:object>
      </w:r>
      <w:r w:rsidRPr="00FB68E4">
        <w:t xml:space="preserve"> is the subcarrier spacing of the active uplink bandwidth part; </w:t>
      </w:r>
    </w:p>
    <w:p w14:paraId="5E604637" w14:textId="63C237E8" w:rsidR="00B36837" w:rsidRPr="00FB68E4" w:rsidRDefault="00B36837" w:rsidP="00B36837">
      <w:pPr>
        <w:pStyle w:val="B1"/>
      </w:pPr>
      <w:r w:rsidRPr="00582BDF">
        <w:t>-</w:t>
      </w:r>
      <w:r w:rsidRPr="00582BDF">
        <w:tab/>
      </w:r>
      <m:oMath>
        <m:sSub>
          <m:sSubPr>
            <m:ctrlPr>
              <w:rPr>
                <w:rFonts w:ascii="Cambria Math" w:hAnsi="Cambria Math"/>
                <w:i/>
              </w:rPr>
            </m:ctrlPr>
          </m:sSubPr>
          <m:e>
            <m:r>
              <w:rPr>
                <w:rFonts w:ascii="Cambria Math" w:hAnsi="Cambria Math"/>
              </w:rPr>
              <m:t>μ</m:t>
            </m:r>
          </m:e>
          <m:sub>
            <m:r>
              <w:rPr>
                <w:rFonts w:ascii="Cambria Math" w:hAnsi="Cambria Math"/>
              </w:rPr>
              <m:t>0</m:t>
            </m:r>
          </m:sub>
        </m:sSub>
      </m:oMath>
      <w:r w:rsidRPr="00582BDF">
        <w:t xml:space="preserve"> is the largest </w:t>
      </w:r>
      <m:oMath>
        <m:r>
          <w:rPr>
            <w:rFonts w:ascii="Cambria Math" w:hAnsi="Cambria Math"/>
          </w:rPr>
          <m:t>μ</m:t>
        </m:r>
      </m:oMath>
      <w:r w:rsidRPr="00582BDF">
        <w:t xml:space="preserve"> value among the subcarrier spacing confi</w:t>
      </w:r>
      <w:proofErr w:type="spellStart"/>
      <w:r w:rsidRPr="00582BDF">
        <w:t>gurations</w:t>
      </w:r>
      <w:proofErr w:type="spellEnd"/>
      <w:r w:rsidRPr="00582BDF">
        <w:t xml:space="preserve"> provided to the UE for this carr</w:t>
      </w:r>
      <w:r w:rsidR="004F408C" w:rsidRPr="004F408C">
        <w:rPr>
          <w:color w:val="FF0000"/>
        </w:rPr>
        <w:t>i</w:t>
      </w:r>
      <w:r w:rsidRPr="00582BDF">
        <w:t>er;</w:t>
      </w:r>
    </w:p>
    <w:p w14:paraId="2E728DB0" w14:textId="30364C94" w:rsidR="00B36837" w:rsidRPr="004F408C" w:rsidRDefault="00B36837" w:rsidP="00B36837">
      <w:pPr>
        <w:pStyle w:val="B1"/>
      </w:pPr>
      <w:bookmarkStart w:id="5" w:name="_Hlk521659314"/>
      <w:r>
        <w:t>-</w:t>
      </w:r>
      <w:r>
        <w:tab/>
      </w:r>
      <w:r>
        <w:rPr>
          <w:noProof/>
          <w:position w:val="-12"/>
        </w:rPr>
        <w:drawing>
          <wp:inline distT="0" distB="0" distL="0" distR="0" wp14:anchorId="62C441D6" wp14:editId="0897892F">
            <wp:extent cx="390525" cy="228600"/>
            <wp:effectExtent l="0" t="0" r="9525"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90525" cy="228600"/>
                    </a:xfrm>
                    <a:prstGeom prst="rect">
                      <a:avLst/>
                    </a:prstGeom>
                    <a:noFill/>
                    <a:ln>
                      <a:noFill/>
                    </a:ln>
                  </pic:spPr>
                </pic:pic>
              </a:graphicData>
            </a:graphic>
          </wp:inline>
        </w:drawing>
      </w:r>
      <w:r w:rsidRPr="00FB68E4">
        <w:t xml:space="preserve"> is the lowest numbered resource block of the initial active uplink bandwidth part based on common resource block indexing and is derived by the higher-layer parameter </w:t>
      </w:r>
      <w:commentRangeStart w:id="6"/>
      <w:proofErr w:type="spellStart"/>
      <w:r w:rsidRPr="00F23CF7">
        <w:rPr>
          <w:i/>
        </w:rPr>
        <w:t>initialUplinkBWP</w:t>
      </w:r>
      <w:proofErr w:type="spellEnd"/>
      <w:r w:rsidRPr="00376390" w:rsidDel="00376390">
        <w:rPr>
          <w:i/>
        </w:rPr>
        <w:t xml:space="preserve"> </w:t>
      </w:r>
      <w:commentRangeEnd w:id="6"/>
      <w:r w:rsidR="00F23CF7">
        <w:rPr>
          <w:rStyle w:val="CommentReference"/>
          <w:rFonts w:eastAsia="Times New Roman"/>
        </w:rPr>
        <w:commentReference w:id="6"/>
      </w:r>
      <w:r w:rsidRPr="00FB68E4">
        <w:t xml:space="preserve">during initial access. Otherwise, </w:t>
      </w:r>
      <w:r>
        <w:rPr>
          <w:noProof/>
          <w:position w:val="-12"/>
        </w:rPr>
        <w:drawing>
          <wp:inline distT="0" distB="0" distL="0" distR="0" wp14:anchorId="1E1E885C" wp14:editId="655FEA8D">
            <wp:extent cx="390525" cy="228600"/>
            <wp:effectExtent l="0" t="0" r="9525"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90525" cy="228600"/>
                    </a:xfrm>
                    <a:prstGeom prst="rect">
                      <a:avLst/>
                    </a:prstGeom>
                    <a:noFill/>
                    <a:ln>
                      <a:noFill/>
                    </a:ln>
                  </pic:spPr>
                </pic:pic>
              </a:graphicData>
            </a:graphic>
          </wp:inline>
        </w:drawing>
      </w:r>
      <w:r w:rsidRPr="00FB68E4">
        <w:t xml:space="preserve"> is the lowest numbered resource block of the active uplink bandwidth </w:t>
      </w:r>
      <w:r w:rsidRPr="004F408C">
        <w:t>part</w:t>
      </w:r>
      <w:r w:rsidRPr="004F408C">
        <w:rPr>
          <w:strike/>
          <w:color w:val="FF0000"/>
        </w:rPr>
        <w:t xml:space="preserve"> based on common resource block indexing and is derived by the higher-layer parameter </w:t>
      </w:r>
      <w:commentRangeStart w:id="7"/>
      <w:r w:rsidRPr="004F408C">
        <w:rPr>
          <w:i/>
          <w:strike/>
          <w:color w:val="FF0000"/>
        </w:rPr>
        <w:t>UL-BWP</w:t>
      </w:r>
      <w:commentRangeEnd w:id="7"/>
      <w:r w:rsidR="00F23CF7" w:rsidRPr="004F408C">
        <w:rPr>
          <w:rStyle w:val="CommentReference"/>
          <w:rFonts w:eastAsia="Times New Roman"/>
          <w:strike/>
          <w:color w:val="FF0000"/>
        </w:rPr>
        <w:commentReference w:id="7"/>
      </w:r>
      <w:r w:rsidRPr="004F408C">
        <w:t xml:space="preserve">; </w:t>
      </w:r>
    </w:p>
    <w:bookmarkEnd w:id="5"/>
    <w:p w14:paraId="7BB26D61" w14:textId="5E7A376D" w:rsidR="00B36837" w:rsidRPr="00FB68E4" w:rsidRDefault="00B36837" w:rsidP="00B36837">
      <w:pPr>
        <w:pStyle w:val="B1"/>
      </w:pPr>
      <w:r w:rsidRPr="004F408C">
        <w:t>-</w:t>
      </w:r>
      <w:r w:rsidRPr="004F408C">
        <w:tab/>
      </w:r>
      <w:r w:rsidRPr="004F408C">
        <w:rPr>
          <w:noProof/>
          <w:position w:val="-10"/>
        </w:rPr>
        <w:drawing>
          <wp:inline distT="0" distB="0" distL="0" distR="0" wp14:anchorId="1461EE31" wp14:editId="6EC6DF87">
            <wp:extent cx="266700" cy="219075"/>
            <wp:effectExtent l="0" t="0" r="0" b="9525"/>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66700" cy="219075"/>
                    </a:xfrm>
                    <a:prstGeom prst="rect">
                      <a:avLst/>
                    </a:prstGeom>
                    <a:noFill/>
                    <a:ln>
                      <a:noFill/>
                    </a:ln>
                  </pic:spPr>
                </pic:pic>
              </a:graphicData>
            </a:graphic>
          </wp:inline>
        </w:drawing>
      </w:r>
      <w:r w:rsidRPr="004F408C">
        <w:t xml:space="preserve"> is the frequency offset of lowest PRACH transmission </w:t>
      </w:r>
      <w:r w:rsidRPr="00FB68E4">
        <w:t>occasion in frequency domain with respect to PRB 0 of the initial active uplink</w:t>
      </w:r>
      <w:bookmarkStart w:id="8" w:name="_GoBack"/>
      <w:bookmarkEnd w:id="8"/>
      <w:r w:rsidRPr="00FB68E4">
        <w:t xml:space="preserve"> bandwidth part given by the </w:t>
      </w:r>
      <w:r w:rsidRPr="00FB68E4">
        <w:lastRenderedPageBreak/>
        <w:t xml:space="preserve">higher-layer parameter </w:t>
      </w:r>
      <w:r w:rsidRPr="002B0112">
        <w:rPr>
          <w:i/>
        </w:rPr>
        <w:t>msg1-FrequencyStart</w:t>
      </w:r>
      <w:r w:rsidRPr="00FB68E4">
        <w:rPr>
          <w:i/>
        </w:rPr>
        <w:t xml:space="preserve"> </w:t>
      </w:r>
      <w:r w:rsidRPr="00FB68E4">
        <w:t xml:space="preserve">during initial access associated with the initial active uplink bandwidth part. Otherwise, </w:t>
      </w:r>
      <w:r>
        <w:rPr>
          <w:noProof/>
          <w:position w:val="-10"/>
        </w:rPr>
        <w:drawing>
          <wp:inline distT="0" distB="0" distL="0" distR="0" wp14:anchorId="0BFB8D32" wp14:editId="439E13F0">
            <wp:extent cx="266700" cy="219075"/>
            <wp:effectExtent l="0" t="0" r="0" b="9525"/>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66700" cy="219075"/>
                    </a:xfrm>
                    <a:prstGeom prst="rect">
                      <a:avLst/>
                    </a:prstGeom>
                    <a:noFill/>
                    <a:ln>
                      <a:noFill/>
                    </a:ln>
                  </pic:spPr>
                </pic:pic>
              </a:graphicData>
            </a:graphic>
          </wp:inline>
        </w:drawing>
      </w:r>
      <w:r w:rsidRPr="00FB68E4">
        <w:t xml:space="preserve"> is the frequency offset of lowest PRACH transmission occasion in frequency domain with respect to physical resource block 0 of the active uplink bandwidth part given by the higher-layer parameter </w:t>
      </w:r>
      <w:r w:rsidRPr="002B0112">
        <w:rPr>
          <w:i/>
        </w:rPr>
        <w:t>msg1-FrequencyStart</w:t>
      </w:r>
      <w:r w:rsidRPr="00FB68E4">
        <w:t xml:space="preserve"> associated with the active uplink bandwidth part;</w:t>
      </w:r>
    </w:p>
    <w:p w14:paraId="071B1748" w14:textId="6126E500" w:rsidR="00B36837" w:rsidRPr="00FB68E4" w:rsidRDefault="00B36837" w:rsidP="00B36837">
      <w:pPr>
        <w:pStyle w:val="B1"/>
      </w:pPr>
      <w:r>
        <w:t>-</w:t>
      </w:r>
      <w:r>
        <w:tab/>
      </w:r>
      <w:r>
        <w:rPr>
          <w:noProof/>
          <w:position w:val="-10"/>
        </w:rPr>
        <w:drawing>
          <wp:inline distT="0" distB="0" distL="0" distR="0" wp14:anchorId="4C645DE7" wp14:editId="03A4B7AC">
            <wp:extent cx="238125" cy="190500"/>
            <wp:effectExtent l="0" t="0" r="9525"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t xml:space="preserve"> </w:t>
      </w:r>
      <w:r w:rsidRPr="00FB68E4">
        <w:t xml:space="preserve">is the PRACH transmission occasion index in frequency domain for a given PRACH transmission occasion in </w:t>
      </w:r>
      <w:proofErr w:type="gramStart"/>
      <w:r w:rsidRPr="00FB68E4">
        <w:t>one time</w:t>
      </w:r>
      <w:proofErr w:type="gramEnd"/>
      <w:r w:rsidRPr="00FB68E4">
        <w:t xml:space="preserve"> instance as given by clause 6.3.3.2; </w:t>
      </w:r>
    </w:p>
    <w:p w14:paraId="3558CE25" w14:textId="48746107" w:rsidR="00B36837" w:rsidRPr="00C07F6D" w:rsidRDefault="00B36837" w:rsidP="00B36837">
      <w:pPr>
        <w:pStyle w:val="B1"/>
      </w:pPr>
      <w:r>
        <w:t>-</w:t>
      </w:r>
      <w:r>
        <w:tab/>
      </w:r>
      <w:r>
        <w:rPr>
          <w:noProof/>
          <w:position w:val="-10"/>
        </w:rPr>
        <w:drawing>
          <wp:inline distT="0" distB="0" distL="0" distR="0" wp14:anchorId="41733D3C" wp14:editId="3BD72A09">
            <wp:extent cx="295275" cy="219075"/>
            <wp:effectExtent l="0" t="0" r="9525" b="9525"/>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t xml:space="preserve"> </w:t>
      </w:r>
      <w:r w:rsidRPr="00FB68E4">
        <w:t>is the number of resource blocks occupied and is given by the parameter allocation expressed in number of RBs for PUSCH in Table 6.3.3.2-1.</w:t>
      </w:r>
      <w:r w:rsidRPr="00C07F6D">
        <w:rPr>
          <w:b/>
          <w:bCs/>
        </w:rPr>
        <w:t xml:space="preserve"> </w:t>
      </w:r>
    </w:p>
    <w:p w14:paraId="2AE922A1" w14:textId="77777777" w:rsidR="00B36837" w:rsidRPr="00C07F6D" w:rsidRDefault="00B36837" w:rsidP="00B36837">
      <w:pPr>
        <w:pStyle w:val="B1"/>
      </w:pPr>
      <w:r w:rsidRPr="00C07F6D">
        <w:t>-</w:t>
      </w:r>
      <w:r w:rsidRPr="00C07F6D">
        <w:tab/>
      </w:r>
      <w:r w:rsidRPr="00C07F6D">
        <w:rPr>
          <w:position w:val="-10"/>
        </w:rPr>
        <w:object w:dxaOrig="400" w:dyaOrig="300" w14:anchorId="7D010A39">
          <v:shape id="_x0000_i1038" type="#_x0000_t75" style="width:21pt;height:14.25pt" o:ole="">
            <v:imagedata r:id="rId28" o:title=""/>
          </v:shape>
          <o:OLEObject Type="Embed" ProgID="Equation.3" ShapeID="_x0000_i1038" DrawAspect="Content" ObjectID="_1595427304" r:id="rId29"/>
        </w:object>
      </w:r>
      <w:r w:rsidRPr="00C07F6D">
        <w:t xml:space="preserve"> and </w:t>
      </w:r>
      <w:r w:rsidRPr="00C07F6D">
        <w:rPr>
          <w:position w:val="-10"/>
        </w:rPr>
        <w:object w:dxaOrig="320" w:dyaOrig="300" w14:anchorId="2BF22E56">
          <v:shape id="_x0000_i1039" type="#_x0000_t75" style="width:14.25pt;height:14.25pt" o:ole="">
            <v:imagedata r:id="rId30" o:title=""/>
          </v:shape>
          <o:OLEObject Type="Embed" ProgID="Equation.3" ShapeID="_x0000_i1039" DrawAspect="Content" ObjectID="_1595427305" r:id="rId31"/>
        </w:object>
      </w:r>
      <w:r w:rsidRPr="00C07F6D">
        <w:t xml:space="preserve"> are given by clause 6.3.3</w:t>
      </w:r>
    </w:p>
    <w:p w14:paraId="4CE25560" w14:textId="77777777" w:rsidR="00B36837" w:rsidRPr="00C07F6D" w:rsidRDefault="00B36837" w:rsidP="00B36837">
      <w:pPr>
        <w:pStyle w:val="B1"/>
      </w:pPr>
      <w:r w:rsidRPr="00C07F6D">
        <w:t>-</w:t>
      </w:r>
      <w:r w:rsidRPr="00C07F6D">
        <w:tab/>
      </w:r>
      <w:r w:rsidRPr="00C07F6D">
        <w:rPr>
          <w:position w:val="-12"/>
        </w:rPr>
        <w:object w:dxaOrig="1820" w:dyaOrig="360" w14:anchorId="04E85603">
          <v:shape id="_x0000_i1040" type="#_x0000_t75" style="width:93pt;height:21pt" o:ole="">
            <v:imagedata r:id="rId32" o:title=""/>
          </v:shape>
          <o:OLEObject Type="Embed" ProgID="Equation.3" ShapeID="_x0000_i1040" DrawAspect="Content" ObjectID="_1595427306" r:id="rId33"/>
        </w:object>
      </w:r>
      <w:r w:rsidRPr="00C07F6D">
        <w:t xml:space="preserve"> where </w:t>
      </w:r>
    </w:p>
    <w:p w14:paraId="21F22A61" w14:textId="77777777" w:rsidR="00B36837" w:rsidRDefault="00B36837" w:rsidP="00B36837">
      <w:pPr>
        <w:pStyle w:val="B2"/>
      </w:pPr>
      <w:r w:rsidRPr="00C07F6D">
        <w:t>-</w:t>
      </w:r>
      <w:r w:rsidRPr="00C07F6D">
        <w:tab/>
        <w:t xml:space="preserve">for </w:t>
      </w:r>
      <w:r w:rsidRPr="00C07F6D">
        <w:rPr>
          <w:position w:val="-10"/>
        </w:rPr>
        <w:object w:dxaOrig="1660" w:dyaOrig="300" w14:anchorId="6038707A">
          <v:shape id="_x0000_i1041" type="#_x0000_t75" style="width:86.25pt;height:14.25pt" o:ole="">
            <v:imagedata r:id="rId34" o:title=""/>
          </v:shape>
          <o:OLEObject Type="Embed" ProgID="Equation.3" ShapeID="_x0000_i1041" DrawAspect="Content" ObjectID="_1595427307" r:id="rId35"/>
        </w:object>
      </w:r>
      <w:r w:rsidRPr="00C07F6D">
        <w:t xml:space="preserve">, </w:t>
      </w:r>
      <w:r w:rsidRPr="00C07F6D">
        <w:rPr>
          <w:position w:val="-6"/>
        </w:rPr>
        <w:object w:dxaOrig="480" w:dyaOrig="240" w14:anchorId="703FEBC8">
          <v:shape id="_x0000_i1042" type="#_x0000_t75" style="width:28.5pt;height:14.25pt" o:ole="">
            <v:imagedata r:id="rId36" o:title=""/>
          </v:shape>
          <o:OLEObject Type="Embed" ProgID="Equation.3" ShapeID="_x0000_i1042" DrawAspect="Content" ObjectID="_1595427308" r:id="rId37"/>
        </w:object>
      </w:r>
      <w:r w:rsidRPr="00C07F6D">
        <w:t xml:space="preserve"> </w:t>
      </w:r>
    </w:p>
    <w:p w14:paraId="6250914B" w14:textId="77777777" w:rsidR="00B36837" w:rsidRDefault="00B36837" w:rsidP="00B36837">
      <w:pPr>
        <w:pStyle w:val="B2"/>
      </w:pPr>
      <w:r w:rsidRPr="00C07F6D">
        <w:t>-</w:t>
      </w:r>
      <w:r w:rsidRPr="00C07F6D">
        <w:tab/>
        <w:t xml:space="preserve">for </w:t>
      </w:r>
      <w:r w:rsidRPr="00C07F6D">
        <w:rPr>
          <w:position w:val="-10"/>
        </w:rPr>
        <w:object w:dxaOrig="2180" w:dyaOrig="300" w14:anchorId="5F455456">
          <v:shape id="_x0000_i1043" type="#_x0000_t75" style="width:115.5pt;height:14.25pt" o:ole="">
            <v:imagedata r:id="rId38" o:title=""/>
          </v:shape>
          <o:OLEObject Type="Embed" ProgID="Equation.3" ShapeID="_x0000_i1043" DrawAspect="Content" ObjectID="_1595427309" r:id="rId39"/>
        </w:object>
      </w:r>
      <w:r w:rsidRPr="00C07F6D">
        <w:t xml:space="preserve">, </w:t>
      </w:r>
      <w:r w:rsidRPr="00C07F6D">
        <w:rPr>
          <w:position w:val="-6"/>
        </w:rPr>
        <w:object w:dxaOrig="180" w:dyaOrig="200" w14:anchorId="01C14AAD">
          <v:shape id="_x0000_i1044" type="#_x0000_t75" style="width:6.75pt;height:6.75pt" o:ole="">
            <v:imagedata r:id="rId40" o:title=""/>
          </v:shape>
          <o:OLEObject Type="Embed" ProgID="Equation.3" ShapeID="_x0000_i1044" DrawAspect="Content" ObjectID="_1595427310" r:id="rId41"/>
        </w:object>
      </w:r>
      <w:r w:rsidRPr="00C07F6D">
        <w:t xml:space="preserve"> is the number of times the interval </w:t>
      </w:r>
      <w:r w:rsidRPr="00C07F6D">
        <w:rPr>
          <w:position w:val="-16"/>
        </w:rPr>
        <w:object w:dxaOrig="2320" w:dyaOrig="420" w14:anchorId="6F5A83BF">
          <v:shape id="_x0000_i1045" type="#_x0000_t75" style="width:122.25pt;height:21pt" o:ole="">
            <v:imagedata r:id="rId42" o:title=""/>
          </v:shape>
          <o:OLEObject Type="Embed" ProgID="Equation.DSMT4" ShapeID="_x0000_i1045" DrawAspect="Content" ObjectID="_1595427311" r:id="rId43"/>
        </w:object>
      </w:r>
      <w:r w:rsidRPr="00C07F6D">
        <w:t xml:space="preserve"> overlaps with either time instance 0 or time instance </w:t>
      </w:r>
      <w:r w:rsidRPr="00C07F6D">
        <w:rPr>
          <w:position w:val="-10"/>
        </w:rPr>
        <w:object w:dxaOrig="2400" w:dyaOrig="300" w14:anchorId="7E7D195E">
          <v:shape id="_x0000_i1046" type="#_x0000_t75" style="width:123pt;height:14.25pt" o:ole="">
            <v:imagedata r:id="rId44" o:title=""/>
          </v:shape>
          <o:OLEObject Type="Embed" ProgID="Equation.3" ShapeID="_x0000_i1046" DrawAspect="Content" ObjectID="_1595427312" r:id="rId45"/>
        </w:object>
      </w:r>
      <w:r w:rsidRPr="00C07F6D">
        <w:t xml:space="preserve"> in a subframe</w:t>
      </w:r>
    </w:p>
    <w:p w14:paraId="47E2E414" w14:textId="77777777" w:rsidR="00B36837" w:rsidRDefault="00B36837" w:rsidP="00B36837">
      <w:r>
        <w:t xml:space="preserve">The starting position </w:t>
      </w:r>
      <w:r w:rsidRPr="002225D4">
        <w:rPr>
          <w:position w:val="-10"/>
        </w:rPr>
        <w:object w:dxaOrig="380" w:dyaOrig="340" w14:anchorId="204319F8">
          <v:shape id="_x0000_i1047" type="#_x0000_t75" style="width:21pt;height:18.75pt" o:ole="">
            <v:imagedata r:id="rId46" o:title=""/>
          </v:shape>
          <o:OLEObject Type="Embed" ProgID="Equation.3" ShapeID="_x0000_i1047" DrawAspect="Content" ObjectID="_1595427313" r:id="rId47"/>
        </w:object>
      </w:r>
      <w:r>
        <w:t xml:space="preserve"> of the PRACH preamble in a subframe (for </w:t>
      </w:r>
      <w:r w:rsidRPr="00986D34">
        <w:rPr>
          <w:position w:val="-12"/>
        </w:rPr>
        <w:object w:dxaOrig="2220" w:dyaOrig="340" w14:anchorId="49480B72">
          <v:shape id="_x0000_i1048" type="#_x0000_t75" style="width:115.5pt;height:17.25pt" o:ole="">
            <v:imagedata r:id="rId48" o:title=""/>
          </v:shape>
          <o:OLEObject Type="Embed" ProgID="Equation.DSMT4" ShapeID="_x0000_i1048" DrawAspect="Content" ObjectID="_1595427314" r:id="rId49"/>
        </w:object>
      </w:r>
      <w:r>
        <w:t xml:space="preserve">) or in a 60 kHz slot (for </w:t>
      </w:r>
      <w:r w:rsidRPr="00986D34">
        <w:rPr>
          <w:position w:val="-12"/>
        </w:rPr>
        <w:object w:dxaOrig="1780" w:dyaOrig="340" w14:anchorId="6BEBF1C6">
          <v:shape id="_x0000_i1049" type="#_x0000_t75" style="width:93pt;height:17.25pt" o:ole="">
            <v:imagedata r:id="rId50" o:title=""/>
          </v:shape>
          <o:OLEObject Type="Embed" ProgID="Equation.DSMT4" ShapeID="_x0000_i1049" DrawAspect="Content" ObjectID="_1595427315" r:id="rId51"/>
        </w:object>
      </w:r>
      <w:r>
        <w:t>) is given by</w:t>
      </w:r>
    </w:p>
    <w:p w14:paraId="6654BA71" w14:textId="77777777" w:rsidR="00B36837" w:rsidRDefault="00B36837" w:rsidP="00B36837">
      <w:pPr>
        <w:pStyle w:val="EQ"/>
      </w:pPr>
      <w:r>
        <w:tab/>
      </w:r>
      <w:r w:rsidRPr="007A2EBF">
        <w:object w:dxaOrig="3739" w:dyaOrig="1060" w14:anchorId="55A71F35">
          <v:shape id="_x0000_i1050" type="#_x0000_t75" style="width:185.25pt;height:51.75pt" o:ole="">
            <v:imagedata r:id="rId52" o:title=""/>
          </v:shape>
          <o:OLEObject Type="Embed" ProgID="Equation.DSMT4" ShapeID="_x0000_i1050" DrawAspect="Content" ObjectID="_1595427316" r:id="rId53"/>
        </w:object>
      </w:r>
    </w:p>
    <w:p w14:paraId="5B815F76" w14:textId="77777777" w:rsidR="00B36837" w:rsidRPr="00184903" w:rsidRDefault="00B36837" w:rsidP="00B36837">
      <w:r w:rsidRPr="00184903">
        <w:t>where</w:t>
      </w:r>
      <w:r w:rsidRPr="00184903" w:rsidDel="004722F8">
        <w:t xml:space="preserve"> </w:t>
      </w:r>
    </w:p>
    <w:p w14:paraId="0D38069D" w14:textId="65CA27CC" w:rsidR="00B36837" w:rsidRPr="00184903" w:rsidRDefault="00B36837" w:rsidP="00B36837">
      <w:pPr>
        <w:pStyle w:val="B1"/>
      </w:pPr>
      <w:r>
        <w:t>-</w:t>
      </w:r>
      <w:r>
        <w:tab/>
      </w:r>
      <w:r w:rsidRPr="00184903">
        <w:t>the subframe or 60</w:t>
      </w:r>
      <w:r>
        <w:t xml:space="preserve"> </w:t>
      </w:r>
      <w:r w:rsidRPr="00184903">
        <w:t xml:space="preserve">kHz slot is assumed to start at </w:t>
      </w:r>
      <w:r>
        <w:rPr>
          <w:noProof/>
          <w:position w:val="-6"/>
        </w:rPr>
        <w:drawing>
          <wp:inline distT="0" distB="0" distL="0" distR="0" wp14:anchorId="07650BD9" wp14:editId="0C7E5687">
            <wp:extent cx="304800" cy="17145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304800" cy="171450"/>
                    </a:xfrm>
                    <a:prstGeom prst="rect">
                      <a:avLst/>
                    </a:prstGeom>
                    <a:noFill/>
                    <a:ln>
                      <a:noFill/>
                    </a:ln>
                  </pic:spPr>
                </pic:pic>
              </a:graphicData>
            </a:graphic>
          </wp:inline>
        </w:drawing>
      </w:r>
      <w:r w:rsidRPr="00184903">
        <w:t xml:space="preserve"> ;</w:t>
      </w:r>
    </w:p>
    <w:p w14:paraId="39627938" w14:textId="7D121BCC" w:rsidR="00B36837" w:rsidRPr="00C07F6D" w:rsidRDefault="00B36837" w:rsidP="00B36837">
      <w:pPr>
        <w:pStyle w:val="B1"/>
      </w:pPr>
      <w:r>
        <w:t>-</w:t>
      </w:r>
      <w:r>
        <w:tab/>
      </w:r>
      <w:r w:rsidRPr="00184903">
        <w:t xml:space="preserve">a timing advance value </w:t>
      </w:r>
      <w:r>
        <w:rPr>
          <w:noProof/>
          <w:position w:val="-10"/>
        </w:rPr>
        <w:drawing>
          <wp:inline distT="0" distB="0" distL="0" distR="0" wp14:anchorId="4A844445" wp14:editId="49CA9DBC">
            <wp:extent cx="447675" cy="200025"/>
            <wp:effectExtent l="0" t="0" r="9525" b="952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447675" cy="200025"/>
                    </a:xfrm>
                    <a:prstGeom prst="rect">
                      <a:avLst/>
                    </a:prstGeom>
                    <a:noFill/>
                    <a:ln>
                      <a:noFill/>
                    </a:ln>
                  </pic:spPr>
                </pic:pic>
              </a:graphicData>
            </a:graphic>
          </wp:inline>
        </w:drawing>
      </w:r>
      <w:r w:rsidRPr="00184903">
        <w:t xml:space="preserve"> shall be assumed;</w:t>
      </w:r>
      <w:r w:rsidRPr="00C07F6D">
        <w:rPr>
          <w:b/>
          <w:bCs/>
        </w:rPr>
        <w:t xml:space="preserve"> </w:t>
      </w:r>
    </w:p>
    <w:p w14:paraId="11D13E6D" w14:textId="77777777" w:rsidR="00B36837" w:rsidRPr="00184903" w:rsidRDefault="00B36837" w:rsidP="00B36837">
      <w:pPr>
        <w:pStyle w:val="B1"/>
      </w:pPr>
      <w:r w:rsidRPr="00C07F6D">
        <w:t>-</w:t>
      </w:r>
      <w:r w:rsidRPr="00C07F6D">
        <w:tab/>
      </w:r>
      <w:r w:rsidRPr="00C07F6D">
        <w:rPr>
          <w:position w:val="-10"/>
        </w:rPr>
        <w:object w:dxaOrig="320" w:dyaOrig="320" w14:anchorId="4F3BECFF">
          <v:shape id="_x0000_i1053" type="#_x0000_t75" style="width:14.25pt;height:14.25pt" o:ole="">
            <v:imagedata r:id="rId56" o:title=""/>
          </v:shape>
          <o:OLEObject Type="Embed" ProgID="Equation.DSMT4" ShapeID="_x0000_i1053" DrawAspect="Content" ObjectID="_1595427317" r:id="rId57"/>
        </w:object>
      </w:r>
      <w:r w:rsidRPr="00C07F6D">
        <w:t xml:space="preserve"> and </w:t>
      </w:r>
      <w:r w:rsidRPr="00C07F6D">
        <w:rPr>
          <w:position w:val="-12"/>
        </w:rPr>
        <w:object w:dxaOrig="560" w:dyaOrig="340" w14:anchorId="48FFDBFC">
          <v:shape id="_x0000_i1054" type="#_x0000_t75" style="width:28.5pt;height:21pt" o:ole="">
            <v:imagedata r:id="rId58" o:title=""/>
          </v:shape>
          <o:OLEObject Type="Embed" ProgID="Equation.DSMT4" ShapeID="_x0000_i1054" DrawAspect="Content" ObjectID="_1595427318" r:id="rId59"/>
        </w:object>
      </w:r>
      <w:r w:rsidRPr="00C07F6D">
        <w:t xml:space="preserve"> are given by clause 5.3.1;</w:t>
      </w:r>
    </w:p>
    <w:p w14:paraId="23549059" w14:textId="5E7544DB" w:rsidR="00B36837" w:rsidRPr="00184903" w:rsidRDefault="00B36837" w:rsidP="00B36837">
      <w:pPr>
        <w:pStyle w:val="B1"/>
      </w:pPr>
      <w:r>
        <w:t>-</w:t>
      </w:r>
      <w:r>
        <w:tab/>
      </w:r>
      <w:r>
        <w:rPr>
          <w:noProof/>
          <w:position w:val="-10"/>
        </w:rPr>
        <w:drawing>
          <wp:inline distT="0" distB="0" distL="0" distR="0" wp14:anchorId="1AA73B39" wp14:editId="518E62E8">
            <wp:extent cx="342900" cy="180975"/>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342900" cy="180975"/>
                    </a:xfrm>
                    <a:prstGeom prst="rect">
                      <a:avLst/>
                    </a:prstGeom>
                    <a:noFill/>
                    <a:ln>
                      <a:noFill/>
                    </a:ln>
                  </pic:spPr>
                </pic:pic>
              </a:graphicData>
            </a:graphic>
          </wp:inline>
        </w:drawing>
      </w:r>
      <w:r w:rsidRPr="00184903">
        <w:t xml:space="preserve"> shall be assumed for </w:t>
      </w:r>
      <w:r>
        <w:rPr>
          <w:noProof/>
          <w:position w:val="-10"/>
        </w:rPr>
        <w:drawing>
          <wp:inline distT="0" distB="0" distL="0" distR="0" wp14:anchorId="1C97CA08" wp14:editId="43D3EDC5">
            <wp:extent cx="1095375" cy="200025"/>
            <wp:effectExtent l="0" t="0" r="9525" b="952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1095375" cy="200025"/>
                    </a:xfrm>
                    <a:prstGeom prst="rect">
                      <a:avLst/>
                    </a:prstGeom>
                    <a:noFill/>
                    <a:ln>
                      <a:noFill/>
                    </a:ln>
                  </pic:spPr>
                </pic:pic>
              </a:graphicData>
            </a:graphic>
          </wp:inline>
        </w:drawing>
      </w:r>
      <w:r w:rsidRPr="00184903">
        <w:t xml:space="preserve">, otherwise it is given by </w:t>
      </w:r>
      <w:r>
        <w:rPr>
          <w:noProof/>
          <w:position w:val="-10"/>
        </w:rPr>
        <w:drawing>
          <wp:inline distT="0" distB="0" distL="0" distR="0" wp14:anchorId="062E63F6" wp14:editId="61AC2626">
            <wp:extent cx="1438275" cy="200025"/>
            <wp:effectExtent l="0" t="0" r="9525" b="952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1438275" cy="200025"/>
                    </a:xfrm>
                    <a:prstGeom prst="rect">
                      <a:avLst/>
                    </a:prstGeom>
                    <a:noFill/>
                    <a:ln>
                      <a:noFill/>
                    </a:ln>
                  </pic:spPr>
                </pic:pic>
              </a:graphicData>
            </a:graphic>
          </wp:inline>
        </w:drawing>
      </w:r>
      <w:r>
        <w:t xml:space="preserve"> </w:t>
      </w:r>
      <w:r w:rsidRPr="00184903">
        <w:t xml:space="preserve">and the symbol position </w:t>
      </w:r>
      <w:r>
        <w:rPr>
          <w:noProof/>
          <w:position w:val="-6"/>
        </w:rPr>
        <w:drawing>
          <wp:inline distT="0" distB="0" distL="0" distR="0" wp14:anchorId="3CBD79AF" wp14:editId="7E5C6902">
            <wp:extent cx="85725" cy="171450"/>
            <wp:effectExtent l="0" t="0" r="9525"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85725" cy="171450"/>
                    </a:xfrm>
                    <a:prstGeom prst="rect">
                      <a:avLst/>
                    </a:prstGeom>
                    <a:noFill/>
                    <a:ln>
                      <a:noFill/>
                    </a:ln>
                  </pic:spPr>
                </pic:pic>
              </a:graphicData>
            </a:graphic>
          </wp:inline>
        </w:drawing>
      </w:r>
      <w:r w:rsidRPr="00184903">
        <w:t xml:space="preserve"> is given by</w:t>
      </w:r>
    </w:p>
    <w:p w14:paraId="7E327B5F" w14:textId="121F386F" w:rsidR="00B36837" w:rsidRPr="00184903" w:rsidRDefault="00B36837" w:rsidP="00B36837">
      <w:pPr>
        <w:pStyle w:val="EQ"/>
      </w:pPr>
      <w:r>
        <w:tab/>
      </w:r>
      <w:r>
        <w:rPr>
          <w:position w:val="-10"/>
        </w:rPr>
        <w:drawing>
          <wp:inline distT="0" distB="0" distL="0" distR="0" wp14:anchorId="4BF1F395" wp14:editId="27235922">
            <wp:extent cx="1285875" cy="209550"/>
            <wp:effectExtent l="0" t="0" r="9525"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1285875" cy="209550"/>
                    </a:xfrm>
                    <a:prstGeom prst="rect">
                      <a:avLst/>
                    </a:prstGeom>
                    <a:noFill/>
                    <a:ln>
                      <a:noFill/>
                    </a:ln>
                  </pic:spPr>
                </pic:pic>
              </a:graphicData>
            </a:graphic>
          </wp:inline>
        </w:drawing>
      </w:r>
    </w:p>
    <w:p w14:paraId="71B3F1EE" w14:textId="77777777" w:rsidR="00B36837" w:rsidRPr="00184903" w:rsidRDefault="00B36837" w:rsidP="00B36837">
      <w:r w:rsidRPr="00184903">
        <w:t>where</w:t>
      </w:r>
      <w:r w:rsidRPr="00184903" w:rsidDel="004722F8">
        <w:t xml:space="preserve"> </w:t>
      </w:r>
    </w:p>
    <w:p w14:paraId="1F553292" w14:textId="6B8F7A20" w:rsidR="00B36837" w:rsidRPr="00184903" w:rsidRDefault="00B36837" w:rsidP="00B36837">
      <w:pPr>
        <w:pStyle w:val="B1"/>
      </w:pPr>
      <w:r>
        <w:t>-</w:t>
      </w:r>
      <w:r>
        <w:tab/>
      </w:r>
      <w:r>
        <w:rPr>
          <w:noProof/>
          <w:position w:val="-10"/>
        </w:rPr>
        <w:drawing>
          <wp:inline distT="0" distB="0" distL="0" distR="0" wp14:anchorId="1C1A8022" wp14:editId="63A27C82">
            <wp:extent cx="114300" cy="200025"/>
            <wp:effectExtent l="0" t="0" r="0" b="952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114300" cy="200025"/>
                    </a:xfrm>
                    <a:prstGeom prst="rect">
                      <a:avLst/>
                    </a:prstGeom>
                    <a:noFill/>
                    <a:ln>
                      <a:noFill/>
                    </a:ln>
                  </pic:spPr>
                </pic:pic>
              </a:graphicData>
            </a:graphic>
          </wp:inline>
        </w:drawing>
      </w:r>
      <w:r w:rsidRPr="00184903">
        <w:t xml:space="preserve"> is given by the parameter </w:t>
      </w:r>
      <w:r>
        <w:t>"</w:t>
      </w:r>
      <w:r w:rsidRPr="00184903">
        <w:t>starting symbol</w:t>
      </w:r>
      <w:r>
        <w:t>"</w:t>
      </w:r>
      <w:r w:rsidRPr="00184903">
        <w:t xml:space="preserve"> in Tables 6.3.3.2-2 to 6.3.3.2-4;</w:t>
      </w:r>
    </w:p>
    <w:p w14:paraId="2281CF4D" w14:textId="6345A5A6" w:rsidR="00B36837" w:rsidRPr="00C82BDC" w:rsidRDefault="00B36837" w:rsidP="00B36837">
      <w:pPr>
        <w:pStyle w:val="B1"/>
      </w:pPr>
      <w:r>
        <w:t>-</w:t>
      </w:r>
      <w:r>
        <w:tab/>
      </w:r>
      <w:r>
        <w:rPr>
          <w:noProof/>
          <w:position w:val="-10"/>
        </w:rPr>
        <w:drawing>
          <wp:inline distT="0" distB="0" distL="0" distR="0" wp14:anchorId="3FB26C7F" wp14:editId="491C71C6">
            <wp:extent cx="238125" cy="20955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238125" cy="209550"/>
                    </a:xfrm>
                    <a:prstGeom prst="rect">
                      <a:avLst/>
                    </a:prstGeom>
                    <a:noFill/>
                    <a:ln>
                      <a:noFill/>
                    </a:ln>
                  </pic:spPr>
                </pic:pic>
              </a:graphicData>
            </a:graphic>
          </wp:inline>
        </w:drawing>
      </w:r>
      <w:r w:rsidRPr="00184903">
        <w:t xml:space="preserve"> is the PRACH transmission occasion within the PRACH slot, numbered in increasing order from 0 to </w:t>
      </w:r>
      <w:r>
        <w:rPr>
          <w:noProof/>
          <w:position w:val="-10"/>
        </w:rPr>
        <w:drawing>
          <wp:inline distT="0" distB="0" distL="0" distR="0" wp14:anchorId="3AF91D4D" wp14:editId="59DED77F">
            <wp:extent cx="571500" cy="20955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571500" cy="209550"/>
                    </a:xfrm>
                    <a:prstGeom prst="rect">
                      <a:avLst/>
                    </a:prstGeom>
                    <a:noFill/>
                    <a:ln>
                      <a:noFill/>
                    </a:ln>
                  </pic:spPr>
                </pic:pic>
              </a:graphicData>
            </a:graphic>
          </wp:inline>
        </w:drawing>
      </w:r>
      <w:r w:rsidRPr="00C82BDC">
        <w:t xml:space="preserve"> within a RACH slot where </w:t>
      </w:r>
      <w:r>
        <w:rPr>
          <w:noProof/>
          <w:position w:val="-10"/>
        </w:rPr>
        <w:drawing>
          <wp:inline distT="0" distB="0" distL="0" distR="0" wp14:anchorId="01E5F2A9" wp14:editId="2B52A6B8">
            <wp:extent cx="409575" cy="209550"/>
            <wp:effectExtent l="0" t="0" r="952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409575" cy="209550"/>
                    </a:xfrm>
                    <a:prstGeom prst="rect">
                      <a:avLst/>
                    </a:prstGeom>
                    <a:noFill/>
                    <a:ln>
                      <a:noFill/>
                    </a:ln>
                  </pic:spPr>
                </pic:pic>
              </a:graphicData>
            </a:graphic>
          </wp:inline>
        </w:drawing>
      </w:r>
      <w:r w:rsidRPr="00C82BDC">
        <w:t xml:space="preserve"> is given Tables 6.3.3.2-2 to 6.3.3.2-4 for </w:t>
      </w:r>
      <w:r w:rsidRPr="00C82BDC">
        <w:rPr>
          <w:position w:val="-10"/>
        </w:rPr>
        <w:object w:dxaOrig="859" w:dyaOrig="300" w14:anchorId="6D9AEF25">
          <v:shape id="_x0000_i1064" type="#_x0000_t75" style="width:43.5pt;height:14.25pt" o:ole="">
            <v:imagedata r:id="rId69" o:title=""/>
          </v:shape>
          <o:OLEObject Type="Embed" ProgID="Equation.DSMT4" ShapeID="_x0000_i1064" DrawAspect="Content" ObjectID="_1595427319" r:id="rId70"/>
        </w:object>
      </w:r>
      <w:r w:rsidRPr="00C82BDC">
        <w:t xml:space="preserve"> and fixed to 1 for </w:t>
      </w:r>
      <w:r w:rsidRPr="00C82BDC">
        <w:rPr>
          <w:position w:val="-10"/>
        </w:rPr>
        <w:object w:dxaOrig="880" w:dyaOrig="300" w14:anchorId="6BD54FA8">
          <v:shape id="_x0000_i1065" type="#_x0000_t75" style="width:43.5pt;height:14.25pt" o:ole="">
            <v:imagedata r:id="rId71" o:title=""/>
          </v:shape>
          <o:OLEObject Type="Embed" ProgID="Equation.DSMT4" ShapeID="_x0000_i1065" DrawAspect="Content" ObjectID="_1595427320" r:id="rId72"/>
        </w:object>
      </w:r>
      <w:r w:rsidRPr="00C82BDC">
        <w:t>;</w:t>
      </w:r>
    </w:p>
    <w:p w14:paraId="68FA82A7" w14:textId="4F9E192D" w:rsidR="00B36837" w:rsidRPr="00184903" w:rsidRDefault="00B36837" w:rsidP="00B36837">
      <w:pPr>
        <w:pStyle w:val="B1"/>
      </w:pPr>
      <w:r>
        <w:t>-</w:t>
      </w:r>
      <w:r>
        <w:tab/>
      </w:r>
      <w:r>
        <w:rPr>
          <w:noProof/>
          <w:position w:val="-10"/>
        </w:rPr>
        <w:drawing>
          <wp:inline distT="0" distB="0" distL="0" distR="0" wp14:anchorId="715DE27B" wp14:editId="2FB86241">
            <wp:extent cx="266700" cy="20955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bwMode="auto">
                    <a:xfrm>
                      <a:off x="0" y="0"/>
                      <a:ext cx="266700" cy="209550"/>
                    </a:xfrm>
                    <a:prstGeom prst="rect">
                      <a:avLst/>
                    </a:prstGeom>
                    <a:noFill/>
                    <a:ln>
                      <a:noFill/>
                    </a:ln>
                  </pic:spPr>
                </pic:pic>
              </a:graphicData>
            </a:graphic>
          </wp:inline>
        </w:drawing>
      </w:r>
      <w:r w:rsidRPr="00184903">
        <w:t xml:space="preserve"> is given by Tables 6.3.3.2-2 to 6.3.3.2-4;</w:t>
      </w:r>
    </w:p>
    <w:p w14:paraId="6D733E05" w14:textId="6B90D30B" w:rsidR="00B36837" w:rsidRPr="00184903" w:rsidRDefault="00B36837" w:rsidP="00B36837">
      <w:pPr>
        <w:pStyle w:val="B1"/>
      </w:pPr>
      <w:r>
        <w:t>-</w:t>
      </w:r>
      <w:r>
        <w:tab/>
      </w:r>
      <w:r>
        <w:rPr>
          <w:noProof/>
          <w:position w:val="-10"/>
        </w:rPr>
        <w:drawing>
          <wp:inline distT="0" distB="0" distL="0" distR="0" wp14:anchorId="39C66BAA" wp14:editId="30669C8E">
            <wp:extent cx="238125" cy="209550"/>
            <wp:effectExtent l="0" t="0" r="952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bwMode="auto">
                    <a:xfrm>
                      <a:off x="0" y="0"/>
                      <a:ext cx="238125" cy="209550"/>
                    </a:xfrm>
                    <a:prstGeom prst="rect">
                      <a:avLst/>
                    </a:prstGeom>
                    <a:noFill/>
                    <a:ln>
                      <a:noFill/>
                    </a:ln>
                  </pic:spPr>
                </pic:pic>
              </a:graphicData>
            </a:graphic>
          </wp:inline>
        </w:drawing>
      </w:r>
      <w:r w:rsidRPr="00184903">
        <w:t xml:space="preserve"> is given by</w:t>
      </w:r>
    </w:p>
    <w:p w14:paraId="791F4198" w14:textId="5537E125" w:rsidR="00B36837" w:rsidRPr="00184903" w:rsidRDefault="00B36837" w:rsidP="00B36837">
      <w:pPr>
        <w:pStyle w:val="B2"/>
      </w:pPr>
      <w:r>
        <w:lastRenderedPageBreak/>
        <w:t>-</w:t>
      </w:r>
      <w:r>
        <w:tab/>
      </w:r>
      <w:r w:rsidRPr="00184903">
        <w:t xml:space="preserve">if </w:t>
      </w:r>
      <w:r>
        <w:rPr>
          <w:noProof/>
          <w:position w:val="-12"/>
        </w:rPr>
        <w:drawing>
          <wp:inline distT="0" distB="0" distL="0" distR="0" wp14:anchorId="0C1D30A7" wp14:editId="1C17B999">
            <wp:extent cx="1476375" cy="228600"/>
            <wp:effectExtent l="0" t="0" r="952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1476375" cy="228600"/>
                    </a:xfrm>
                    <a:prstGeom prst="rect">
                      <a:avLst/>
                    </a:prstGeom>
                    <a:noFill/>
                    <a:ln>
                      <a:noFill/>
                    </a:ln>
                  </pic:spPr>
                </pic:pic>
              </a:graphicData>
            </a:graphic>
          </wp:inline>
        </w:drawing>
      </w:r>
      <w:r w:rsidRPr="00184903">
        <w:t xml:space="preserve">, then </w:t>
      </w:r>
      <w:r>
        <w:rPr>
          <w:noProof/>
          <w:position w:val="-10"/>
        </w:rPr>
        <w:drawing>
          <wp:inline distT="0" distB="0" distL="0" distR="0" wp14:anchorId="56E02C9E" wp14:editId="5F50B148">
            <wp:extent cx="447675" cy="209550"/>
            <wp:effectExtent l="0" t="0" r="952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76" cstate="print">
                      <a:extLst>
                        <a:ext uri="{28A0092B-C50C-407E-A947-70E740481C1C}">
                          <a14:useLocalDpi xmlns:a14="http://schemas.microsoft.com/office/drawing/2010/main" val="0"/>
                        </a:ext>
                      </a:extLst>
                    </a:blip>
                    <a:srcRect/>
                    <a:stretch>
                      <a:fillRect/>
                    </a:stretch>
                  </pic:blipFill>
                  <pic:spPr bwMode="auto">
                    <a:xfrm>
                      <a:off x="0" y="0"/>
                      <a:ext cx="447675" cy="209550"/>
                    </a:xfrm>
                    <a:prstGeom prst="rect">
                      <a:avLst/>
                    </a:prstGeom>
                    <a:noFill/>
                    <a:ln>
                      <a:noFill/>
                    </a:ln>
                  </pic:spPr>
                </pic:pic>
              </a:graphicData>
            </a:graphic>
          </wp:inline>
        </w:drawing>
      </w:r>
    </w:p>
    <w:p w14:paraId="3F24671E" w14:textId="09A88020" w:rsidR="00B36837" w:rsidRDefault="00B36837" w:rsidP="00B36837">
      <w:pPr>
        <w:pStyle w:val="B2"/>
      </w:pPr>
      <w:r>
        <w:t>-</w:t>
      </w:r>
      <w:r>
        <w:tab/>
      </w:r>
      <w:r w:rsidRPr="00184903">
        <w:t xml:space="preserve">if </w:t>
      </w:r>
      <w:r>
        <w:rPr>
          <w:noProof/>
          <w:position w:val="-12"/>
        </w:rPr>
        <w:drawing>
          <wp:inline distT="0" distB="0" distL="0" distR="0" wp14:anchorId="711C7AD8" wp14:editId="41B9A2D4">
            <wp:extent cx="1181100" cy="2286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1181100" cy="228600"/>
                    </a:xfrm>
                    <a:prstGeom prst="rect">
                      <a:avLst/>
                    </a:prstGeom>
                    <a:noFill/>
                    <a:ln>
                      <a:noFill/>
                    </a:ln>
                  </pic:spPr>
                </pic:pic>
              </a:graphicData>
            </a:graphic>
          </wp:inline>
        </w:drawing>
      </w:r>
      <w:r w:rsidRPr="00184903">
        <w:t xml:space="preserve"> and either of </w:t>
      </w:r>
      <w:r>
        <w:t>"</w:t>
      </w:r>
      <w:r w:rsidRPr="00184903">
        <w:t>Number of PRACH slots within a subframe</w:t>
      </w:r>
      <w:r>
        <w:t>"</w:t>
      </w:r>
      <w:r w:rsidRPr="00184903">
        <w:t xml:space="preserve"> in Tables 6.3.3.2-2 to 6.3.3.2-3 or </w:t>
      </w:r>
      <w:r>
        <w:t>"</w:t>
      </w:r>
      <w:r w:rsidRPr="00184903">
        <w:t>Number of PRACH slots within a 60 kHz slot</w:t>
      </w:r>
      <w:r>
        <w:t>"</w:t>
      </w:r>
      <w:r w:rsidRPr="00184903">
        <w:t xml:space="preserve"> in Table 6.3.3.2-4 is equal to 1, then </w:t>
      </w:r>
      <w:r>
        <w:rPr>
          <w:noProof/>
          <w:position w:val="-10"/>
        </w:rPr>
        <w:drawing>
          <wp:inline distT="0" distB="0" distL="0" distR="0" wp14:anchorId="6CA19B50" wp14:editId="4479FD40">
            <wp:extent cx="419100" cy="2095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p w14:paraId="7294D053" w14:textId="6596A4A1" w:rsidR="00B36837" w:rsidRPr="00184903" w:rsidRDefault="00B36837" w:rsidP="00B36837">
      <w:pPr>
        <w:pStyle w:val="B1"/>
      </w:pPr>
      <w:r>
        <w:t>-</w:t>
      </w:r>
      <w:r>
        <w:tab/>
      </w:r>
      <w:r w:rsidRPr="00184903">
        <w:t xml:space="preserve">otherwise, </w:t>
      </w:r>
      <w:r>
        <w:rPr>
          <w:noProof/>
          <w:position w:val="-12"/>
        </w:rPr>
        <w:drawing>
          <wp:inline distT="0" distB="0" distL="0" distR="0" wp14:anchorId="0ED04D2B" wp14:editId="1F218FCE">
            <wp:extent cx="628650" cy="2286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79" cstate="print">
                      <a:extLst>
                        <a:ext uri="{28A0092B-C50C-407E-A947-70E740481C1C}">
                          <a14:useLocalDpi xmlns:a14="http://schemas.microsoft.com/office/drawing/2010/main" val="0"/>
                        </a:ext>
                      </a:extLst>
                    </a:blip>
                    <a:srcRect/>
                    <a:stretch>
                      <a:fillRect/>
                    </a:stretch>
                  </pic:blipFill>
                  <pic:spPr bwMode="auto">
                    <a:xfrm>
                      <a:off x="0" y="0"/>
                      <a:ext cx="628650" cy="228600"/>
                    </a:xfrm>
                    <a:prstGeom prst="rect">
                      <a:avLst/>
                    </a:prstGeom>
                    <a:noFill/>
                    <a:ln>
                      <a:noFill/>
                    </a:ln>
                  </pic:spPr>
                </pic:pic>
              </a:graphicData>
            </a:graphic>
          </wp:inline>
        </w:drawing>
      </w:r>
    </w:p>
    <w:p w14:paraId="5208E59B" w14:textId="77777777" w:rsidR="00B36837" w:rsidRPr="003A604F" w:rsidRDefault="00B36837" w:rsidP="00B36837">
      <w:r w:rsidRPr="003A604F">
        <w:t>If the preamble format given by Tables 6.3.3.2-2 to 6.3.3.2-4 is A1/B1, A2/B2 or A3/B3, then</w:t>
      </w:r>
    </w:p>
    <w:p w14:paraId="3A5D430D" w14:textId="77777777" w:rsidR="00B36837" w:rsidRPr="003A604F" w:rsidRDefault="00B36837" w:rsidP="00B36837">
      <w:pPr>
        <w:pStyle w:val="B1"/>
      </w:pPr>
      <w:r w:rsidRPr="003A604F">
        <w:t>-</w:t>
      </w:r>
      <w:r w:rsidRPr="003A604F">
        <w:tab/>
        <w:t xml:space="preserve">if </w:t>
      </w:r>
      <m:oMath>
        <m:sSubSup>
          <m:sSubSupPr>
            <m:ctrlPr>
              <w:rPr>
                <w:rFonts w:ascii="Cambria Math" w:hAnsi="Cambria Math"/>
                <w:i/>
              </w:rPr>
            </m:ctrlPr>
          </m:sSubSupPr>
          <m:e>
            <m:r>
              <w:rPr>
                <w:rFonts w:ascii="Cambria Math" w:hAnsi="Cambria Math"/>
              </w:rPr>
              <m:t>n</m:t>
            </m:r>
          </m:e>
          <m:sub>
            <m:r>
              <w:rPr>
                <w:rFonts w:ascii="Cambria Math" w:hAnsi="Cambria Math"/>
              </w:rPr>
              <m:t>t</m:t>
            </m:r>
          </m:sub>
          <m:sup>
            <m:r>
              <m:rPr>
                <m:nor/>
              </m:rPr>
              <w:rPr>
                <w:rFonts w:ascii="Cambria Math" w:hAnsi="Cambria Math"/>
              </w:rPr>
              <m:t>RA</m:t>
            </m:r>
          </m:sup>
        </m:sSubSup>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t</m:t>
            </m:r>
          </m:sub>
          <m:sup>
            <w:proofErr w:type="gramStart"/>
            <m:r>
              <m:rPr>
                <m:nor/>
              </m:rPr>
              <w:rPr>
                <w:rFonts w:ascii="Cambria Math" w:hAnsi="Cambria Math"/>
              </w:rPr>
              <m:t>RA,slot</m:t>
            </m:r>
            <w:proofErr w:type="gramEnd"/>
          </m:sup>
        </m:sSubSup>
        <m:r>
          <w:rPr>
            <w:rFonts w:ascii="Cambria Math" w:hAnsi="Cambria Math"/>
          </w:rPr>
          <m:t>-1</m:t>
        </m:r>
      </m:oMath>
      <w:r w:rsidRPr="003A604F">
        <w:t>, then the PRACH preamble with the corresponding PRACH preamble format from B1, B2 and B3 is transmitted in the PRACH t</w:t>
      </w:r>
      <w:proofErr w:type="spellStart"/>
      <w:r w:rsidRPr="003A604F">
        <w:t>ransmission</w:t>
      </w:r>
      <w:proofErr w:type="spellEnd"/>
      <w:r w:rsidRPr="003A604F">
        <w:t xml:space="preserve"> occasion;</w:t>
      </w:r>
    </w:p>
    <w:p w14:paraId="26E21819" w14:textId="77777777" w:rsidR="00B36837" w:rsidRPr="003A604F" w:rsidRDefault="00B36837" w:rsidP="00B36837">
      <w:pPr>
        <w:pStyle w:val="B1"/>
      </w:pPr>
      <w:r w:rsidRPr="003A604F">
        <w:t>-</w:t>
      </w:r>
      <w:r w:rsidRPr="003A604F">
        <w:tab/>
        <w:t>otherwise the PRACH preamble with the corresponding PRACH preamble format from A1, A2 and A3 is transmitted in the PRACH transmission occasion</w:t>
      </w:r>
    </w:p>
    <w:p w14:paraId="59D5BEA2" w14:textId="77777777" w:rsidR="00AB2EE0" w:rsidRPr="00AB2EE0" w:rsidRDefault="00AB2EE0" w:rsidP="00AB2EE0">
      <w:pPr>
        <w:pStyle w:val="BodyText"/>
      </w:pPr>
    </w:p>
    <w:sectPr w:rsidR="00AB2EE0" w:rsidRPr="00AB2EE0" w:rsidSect="00C62894">
      <w:headerReference w:type="even" r:id="rId80"/>
      <w:headerReference w:type="default" r:id="rId81"/>
      <w:footerReference w:type="even" r:id="rId82"/>
      <w:footerReference w:type="default" r:id="rId83"/>
      <w:headerReference w:type="first" r:id="rId84"/>
      <w:footerReference w:type="first" r:id="rId85"/>
      <w:pgSz w:w="11906" w:h="16838"/>
      <w:pgMar w:top="1417" w:right="1417" w:bottom="1417" w:left="1417"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6" w:author="Author" w:initials="A">
    <w:p w14:paraId="32B84A43" w14:textId="45B864CC" w:rsidR="00F23CF7" w:rsidRDefault="00F23CF7">
      <w:pPr>
        <w:pStyle w:val="CommentText"/>
      </w:pPr>
      <w:r>
        <w:rPr>
          <w:rStyle w:val="CommentReference"/>
        </w:rPr>
        <w:annotationRef/>
      </w:r>
      <w:r>
        <w:t xml:space="preserve">This field is present in common or dedicated </w:t>
      </w:r>
      <w:r w:rsidR="001C6384">
        <w:t>configuration,</w:t>
      </w:r>
      <w:r>
        <w:t xml:space="preserve"> so the text seems ok for both options.</w:t>
      </w:r>
    </w:p>
  </w:comment>
  <w:comment w:id="7" w:author="Author" w:initials="A">
    <w:p w14:paraId="34F47C7B" w14:textId="77777777" w:rsidR="00F23CF7" w:rsidRDefault="00F23CF7">
      <w:pPr>
        <w:pStyle w:val="CommentText"/>
      </w:pPr>
      <w:r>
        <w:rPr>
          <w:rStyle w:val="CommentReference"/>
        </w:rPr>
        <w:annotationRef/>
      </w:r>
      <w:r w:rsidR="004F408C">
        <w:t xml:space="preserve">The “common resource block </w:t>
      </w:r>
      <w:proofErr w:type="spellStart"/>
      <w:r w:rsidR="004F408C">
        <w:t xml:space="preserve">indexing” is </w:t>
      </w:r>
      <w:proofErr w:type="spellEnd"/>
      <w:r w:rsidR="004F408C">
        <w:t xml:space="preserve">not necessary, </w:t>
      </w:r>
      <w:r w:rsidR="00260AB3">
        <w:t xml:space="preserve">it </w:t>
      </w:r>
      <w:r w:rsidR="004F408C">
        <w:t>is</w:t>
      </w:r>
      <w:r w:rsidR="00260AB3">
        <w:t xml:space="preserve"> sufficient in 211 to state that it is the lowest numbered RB of the active uplink BWP.</w:t>
      </w:r>
    </w:p>
    <w:p w14:paraId="2D9359B0" w14:textId="77777777" w:rsidR="004F408C" w:rsidRDefault="004F408C">
      <w:pPr>
        <w:pStyle w:val="CommentText"/>
      </w:pPr>
    </w:p>
    <w:p w14:paraId="33346A33" w14:textId="498739D3" w:rsidR="004F408C" w:rsidRDefault="004F408C">
      <w:pPr>
        <w:pStyle w:val="CommentText"/>
      </w:pPr>
      <w:r>
        <w:t xml:space="preserve">The parameter name is </w:t>
      </w:r>
      <w:r>
        <w:t xml:space="preserve">BWP-Uplink </w:t>
      </w:r>
      <w:r>
        <w:t xml:space="preserve">(there is one such for each configured BWP and it </w:t>
      </w:r>
      <w:r>
        <w:t>contains BWP-</w:t>
      </w:r>
      <w:proofErr w:type="spellStart"/>
      <w:r>
        <w:t>UplinkCommon</w:t>
      </w:r>
      <w:proofErr w:type="spellEnd"/>
      <w:r>
        <w:t xml:space="preserve"> or BWP-</w:t>
      </w:r>
      <w:proofErr w:type="spellStart"/>
      <w:r>
        <w:t>UplinkDedicated</w:t>
      </w:r>
      <w:proofErr w:type="spellEnd"/>
      <w:r>
        <w:t>)</w:t>
      </w:r>
      <w:r>
        <w: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2B84A43" w15:done="0"/>
  <w15:commentEx w15:paraId="33346A33"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2B84A43" w16cid:durableId="1F17E749"/>
  <w16cid:commentId w16cid:paraId="33346A33" w16cid:durableId="1F17E77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57197E" w14:textId="77777777" w:rsidR="002672FC" w:rsidRDefault="002672FC" w:rsidP="00896408">
      <w:r>
        <w:separator/>
      </w:r>
    </w:p>
  </w:endnote>
  <w:endnote w:type="continuationSeparator" w:id="0">
    <w:p w14:paraId="39E8ECD9" w14:textId="77777777" w:rsidR="002672FC" w:rsidRDefault="002672FC" w:rsidP="008964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94B015" w14:textId="77777777" w:rsidR="00EF0525" w:rsidRDefault="00EF052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D909E9" w14:textId="77777777" w:rsidR="00EF0525" w:rsidRDefault="00EF052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54C85E" w14:textId="77777777" w:rsidR="00EF0525" w:rsidRDefault="00EF052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E1899F" w14:textId="77777777" w:rsidR="002672FC" w:rsidRDefault="002672FC" w:rsidP="00896408">
      <w:r>
        <w:separator/>
      </w:r>
    </w:p>
  </w:footnote>
  <w:footnote w:type="continuationSeparator" w:id="0">
    <w:p w14:paraId="3937167D" w14:textId="77777777" w:rsidR="002672FC" w:rsidRDefault="002672FC" w:rsidP="008964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BC279B" w14:textId="77777777" w:rsidR="00EF0525" w:rsidRDefault="00EF052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B637EC" w14:textId="77777777" w:rsidR="00EF0525" w:rsidRDefault="00EF052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31D31E" w14:textId="77777777" w:rsidR="00EF0525" w:rsidRDefault="00EF052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F68E2EF0">
      <w:start w:val="1"/>
      <w:numFmt w:val="bullet"/>
      <w:lvlText w:val="•"/>
      <w:lvlJc w:val="left"/>
      <w:pPr>
        <w:tabs>
          <w:tab w:val="num" w:pos="4320"/>
        </w:tabs>
        <w:ind w:left="4320" w:hanging="360"/>
      </w:pPr>
      <w:rPr>
        <w:rFonts w:ascii="Arial" w:hAnsi="Arial"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1" w15:restartNumberingAfterBreak="0">
    <w:nsid w:val="03297103"/>
    <w:multiLevelType w:val="hybridMultilevel"/>
    <w:tmpl w:val="BECC48F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3C30926"/>
    <w:multiLevelType w:val="hybridMultilevel"/>
    <w:tmpl w:val="FD94D87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51F2A2A"/>
    <w:multiLevelType w:val="hybridMultilevel"/>
    <w:tmpl w:val="395AB4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6F286A"/>
    <w:multiLevelType w:val="hybridMultilevel"/>
    <w:tmpl w:val="40E852F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0DFD57D2"/>
    <w:multiLevelType w:val="hybridMultilevel"/>
    <w:tmpl w:val="C890C69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13E44584"/>
    <w:multiLevelType w:val="hybridMultilevel"/>
    <w:tmpl w:val="2B3E6C2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14F52E09"/>
    <w:multiLevelType w:val="hybridMultilevel"/>
    <w:tmpl w:val="B8123C9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15772AF8"/>
    <w:multiLevelType w:val="hybridMultilevel"/>
    <w:tmpl w:val="5CC4372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1C714BB0"/>
    <w:multiLevelType w:val="hybridMultilevel"/>
    <w:tmpl w:val="C95A152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10F055B"/>
    <w:multiLevelType w:val="hybridMultilevel"/>
    <w:tmpl w:val="578C217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23BE6172"/>
    <w:multiLevelType w:val="hybridMultilevel"/>
    <w:tmpl w:val="40766C3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264F4DB7"/>
    <w:multiLevelType w:val="hybridMultilevel"/>
    <w:tmpl w:val="7C042B3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26F65D66"/>
    <w:multiLevelType w:val="hybridMultilevel"/>
    <w:tmpl w:val="AEAEEA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2DDF0E1C"/>
    <w:multiLevelType w:val="hybridMultilevel"/>
    <w:tmpl w:val="92F431F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06A0B11"/>
    <w:multiLevelType w:val="hybridMultilevel"/>
    <w:tmpl w:val="584E33F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4FB4ABF"/>
    <w:multiLevelType w:val="hybridMultilevel"/>
    <w:tmpl w:val="9612BA4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4FD1E37"/>
    <w:multiLevelType w:val="hybridMultilevel"/>
    <w:tmpl w:val="9FF2884E"/>
    <w:lvl w:ilvl="0" w:tplc="9D426048">
      <w:start w:val="1"/>
      <w:numFmt w:val="bullet"/>
      <w:lvlText w:val="•"/>
      <w:lvlJc w:val="left"/>
      <w:pPr>
        <w:tabs>
          <w:tab w:val="num" w:pos="720"/>
        </w:tabs>
        <w:ind w:left="720" w:hanging="360"/>
      </w:pPr>
      <w:rPr>
        <w:rFonts w:ascii="Arial" w:hAnsi="Arial" w:hint="default"/>
      </w:rPr>
    </w:lvl>
    <w:lvl w:ilvl="1" w:tplc="39F6DD60">
      <w:start w:val="52"/>
      <w:numFmt w:val="bullet"/>
      <w:lvlText w:val="•"/>
      <w:lvlJc w:val="left"/>
      <w:pPr>
        <w:tabs>
          <w:tab w:val="num" w:pos="1440"/>
        </w:tabs>
        <w:ind w:left="1440" w:hanging="360"/>
      </w:pPr>
      <w:rPr>
        <w:rFonts w:ascii="Arial" w:hAnsi="Arial" w:hint="default"/>
      </w:rPr>
    </w:lvl>
    <w:lvl w:ilvl="2" w:tplc="56242E6C">
      <w:start w:val="1"/>
      <w:numFmt w:val="bullet"/>
      <w:lvlText w:val="•"/>
      <w:lvlJc w:val="left"/>
      <w:pPr>
        <w:tabs>
          <w:tab w:val="num" w:pos="2160"/>
        </w:tabs>
        <w:ind w:left="2160" w:hanging="360"/>
      </w:pPr>
      <w:rPr>
        <w:rFonts w:ascii="Arial" w:hAnsi="Arial" w:hint="default"/>
      </w:rPr>
    </w:lvl>
    <w:lvl w:ilvl="3" w:tplc="5E2A0924" w:tentative="1">
      <w:start w:val="1"/>
      <w:numFmt w:val="bullet"/>
      <w:lvlText w:val="•"/>
      <w:lvlJc w:val="left"/>
      <w:pPr>
        <w:tabs>
          <w:tab w:val="num" w:pos="2880"/>
        </w:tabs>
        <w:ind w:left="2880" w:hanging="360"/>
      </w:pPr>
      <w:rPr>
        <w:rFonts w:ascii="Arial" w:hAnsi="Arial" w:hint="default"/>
      </w:rPr>
    </w:lvl>
    <w:lvl w:ilvl="4" w:tplc="FCE21F88" w:tentative="1">
      <w:start w:val="1"/>
      <w:numFmt w:val="bullet"/>
      <w:lvlText w:val="•"/>
      <w:lvlJc w:val="left"/>
      <w:pPr>
        <w:tabs>
          <w:tab w:val="num" w:pos="3600"/>
        </w:tabs>
        <w:ind w:left="3600" w:hanging="360"/>
      </w:pPr>
      <w:rPr>
        <w:rFonts w:ascii="Arial" w:hAnsi="Arial" w:hint="default"/>
      </w:rPr>
    </w:lvl>
    <w:lvl w:ilvl="5" w:tplc="F2CC3BEA" w:tentative="1">
      <w:start w:val="1"/>
      <w:numFmt w:val="bullet"/>
      <w:lvlText w:val="•"/>
      <w:lvlJc w:val="left"/>
      <w:pPr>
        <w:tabs>
          <w:tab w:val="num" w:pos="4320"/>
        </w:tabs>
        <w:ind w:left="4320" w:hanging="360"/>
      </w:pPr>
      <w:rPr>
        <w:rFonts w:ascii="Arial" w:hAnsi="Arial" w:hint="default"/>
      </w:rPr>
    </w:lvl>
    <w:lvl w:ilvl="6" w:tplc="FAD0BDB4" w:tentative="1">
      <w:start w:val="1"/>
      <w:numFmt w:val="bullet"/>
      <w:lvlText w:val="•"/>
      <w:lvlJc w:val="left"/>
      <w:pPr>
        <w:tabs>
          <w:tab w:val="num" w:pos="5040"/>
        </w:tabs>
        <w:ind w:left="5040" w:hanging="360"/>
      </w:pPr>
      <w:rPr>
        <w:rFonts w:ascii="Arial" w:hAnsi="Arial" w:hint="default"/>
      </w:rPr>
    </w:lvl>
    <w:lvl w:ilvl="7" w:tplc="2D3E10EA" w:tentative="1">
      <w:start w:val="1"/>
      <w:numFmt w:val="bullet"/>
      <w:lvlText w:val="•"/>
      <w:lvlJc w:val="left"/>
      <w:pPr>
        <w:tabs>
          <w:tab w:val="num" w:pos="5760"/>
        </w:tabs>
        <w:ind w:left="5760" w:hanging="360"/>
      </w:pPr>
      <w:rPr>
        <w:rFonts w:ascii="Arial" w:hAnsi="Arial" w:hint="default"/>
      </w:rPr>
    </w:lvl>
    <w:lvl w:ilvl="8" w:tplc="2BF81DDC"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62618B8"/>
    <w:multiLevelType w:val="hybridMultilevel"/>
    <w:tmpl w:val="F75E6E8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38A01FDB"/>
    <w:multiLevelType w:val="hybridMultilevel"/>
    <w:tmpl w:val="9F1A44AC"/>
    <w:lvl w:ilvl="0" w:tplc="54EEB79A">
      <w:start w:val="1"/>
      <w:numFmt w:val="bullet"/>
      <w:lvlText w:val=""/>
      <w:lvlJc w:val="left"/>
      <w:pPr>
        <w:ind w:left="720"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91A6380"/>
    <w:multiLevelType w:val="hybridMultilevel"/>
    <w:tmpl w:val="05EA57A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39326A51"/>
    <w:multiLevelType w:val="hybridMultilevel"/>
    <w:tmpl w:val="CF7EAD8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3A312843"/>
    <w:multiLevelType w:val="hybridMultilevel"/>
    <w:tmpl w:val="B29CBCA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3A78509E"/>
    <w:multiLevelType w:val="hybridMultilevel"/>
    <w:tmpl w:val="E14A76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AF15CA1"/>
    <w:multiLevelType w:val="hybridMultilevel"/>
    <w:tmpl w:val="C8E6B7C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3B416041"/>
    <w:multiLevelType w:val="hybridMultilevel"/>
    <w:tmpl w:val="D812B9B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41AA6B5C"/>
    <w:multiLevelType w:val="hybridMultilevel"/>
    <w:tmpl w:val="4D123DD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41D82CE0"/>
    <w:multiLevelType w:val="hybridMultilevel"/>
    <w:tmpl w:val="8B8CD9D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45503E80"/>
    <w:multiLevelType w:val="hybridMultilevel"/>
    <w:tmpl w:val="C74EA53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4729449E"/>
    <w:multiLevelType w:val="hybridMultilevel"/>
    <w:tmpl w:val="4C48BA5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47AD6D1C"/>
    <w:multiLevelType w:val="hybridMultilevel"/>
    <w:tmpl w:val="589A746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51840B12"/>
    <w:multiLevelType w:val="hybridMultilevel"/>
    <w:tmpl w:val="AE4C383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556F5CD0"/>
    <w:multiLevelType w:val="hybridMultilevel"/>
    <w:tmpl w:val="87B801E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571928A3"/>
    <w:multiLevelType w:val="hybridMultilevel"/>
    <w:tmpl w:val="7E2CD7D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58544F04"/>
    <w:multiLevelType w:val="hybridMultilevel"/>
    <w:tmpl w:val="1562A0D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5C50207F"/>
    <w:multiLevelType w:val="hybridMultilevel"/>
    <w:tmpl w:val="C81C6A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C84718E"/>
    <w:multiLevelType w:val="hybridMultilevel"/>
    <w:tmpl w:val="9344188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61FE14C6"/>
    <w:multiLevelType w:val="hybridMultilevel"/>
    <w:tmpl w:val="4BA8DFD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9" w15:restartNumberingAfterBreak="0">
    <w:nsid w:val="625F2577"/>
    <w:multiLevelType w:val="hybridMultilevel"/>
    <w:tmpl w:val="5ADC4700"/>
    <w:lvl w:ilvl="0" w:tplc="54EEB79A">
      <w:start w:val="1"/>
      <w:numFmt w:val="bullet"/>
      <w:lvlText w:val=""/>
      <w:lvlJc w:val="left"/>
      <w:pPr>
        <w:ind w:left="1080" w:hanging="360"/>
      </w:pPr>
      <w:rPr>
        <w:rFonts w:ascii="Symbol" w:hAnsi="Symbol" w:hint="default"/>
        <w:sz w:val="20"/>
        <w:szCs w:val="20"/>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0" w15:restartNumberingAfterBreak="0">
    <w:nsid w:val="637546D5"/>
    <w:multiLevelType w:val="hybridMultilevel"/>
    <w:tmpl w:val="48D4604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1" w15:restartNumberingAfterBreak="0">
    <w:nsid w:val="676E37E5"/>
    <w:multiLevelType w:val="hybridMultilevel"/>
    <w:tmpl w:val="2402B82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2" w15:restartNumberingAfterBreak="0">
    <w:nsid w:val="6DC3168C"/>
    <w:multiLevelType w:val="hybridMultilevel"/>
    <w:tmpl w:val="7B52795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3" w15:restartNumberingAfterBreak="0">
    <w:nsid w:val="6DC85CFF"/>
    <w:multiLevelType w:val="hybridMultilevel"/>
    <w:tmpl w:val="FB9E96C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4" w15:restartNumberingAfterBreak="0">
    <w:nsid w:val="722540B5"/>
    <w:multiLevelType w:val="hybridMultilevel"/>
    <w:tmpl w:val="5726AFB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5" w15:restartNumberingAfterBreak="0">
    <w:nsid w:val="768464E6"/>
    <w:multiLevelType w:val="hybridMultilevel"/>
    <w:tmpl w:val="DFC8AD5A"/>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 w15:restartNumberingAfterBreak="0">
    <w:nsid w:val="76C83086"/>
    <w:multiLevelType w:val="hybridMultilevel"/>
    <w:tmpl w:val="631A6F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7542044"/>
    <w:multiLevelType w:val="hybridMultilevel"/>
    <w:tmpl w:val="F62CBEF8"/>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BED18BC"/>
    <w:multiLevelType w:val="multilevel"/>
    <w:tmpl w:val="D18A1F64"/>
    <w:lvl w:ilvl="0">
      <w:start w:val="1"/>
      <w:numFmt w:val="decimal"/>
      <w:pStyle w:val="Heading1"/>
      <w:lvlText w:val="%1."/>
      <w:lvlJc w:val="left"/>
      <w:pPr>
        <w:tabs>
          <w:tab w:val="num" w:pos="2835"/>
        </w:tabs>
        <w:ind w:left="2835" w:hanging="567"/>
      </w:pPr>
      <w:rPr>
        <w:rFonts w:hint="default"/>
        <w:u w:val="none"/>
      </w:rPr>
    </w:lvl>
    <w:lvl w:ilvl="1">
      <w:start w:val="1"/>
      <w:numFmt w:val="decimal"/>
      <w:pStyle w:val="Heading2"/>
      <w:lvlText w:val="%1.%2."/>
      <w:lvlJc w:val="left"/>
      <w:pPr>
        <w:tabs>
          <w:tab w:val="num" w:pos="3447"/>
        </w:tabs>
        <w:ind w:left="344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49" w15:restartNumberingAfterBreak="0">
    <w:nsid w:val="7E914653"/>
    <w:multiLevelType w:val="hybridMultilevel"/>
    <w:tmpl w:val="DDB8950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48"/>
  </w:num>
  <w:num w:numId="2">
    <w:abstractNumId w:val="0"/>
  </w:num>
  <w:num w:numId="3">
    <w:abstractNumId w:val="45"/>
  </w:num>
  <w:num w:numId="4">
    <w:abstractNumId w:val="33"/>
  </w:num>
  <w:num w:numId="5">
    <w:abstractNumId w:val="24"/>
  </w:num>
  <w:num w:numId="6">
    <w:abstractNumId w:val="12"/>
  </w:num>
  <w:num w:numId="7">
    <w:abstractNumId w:val="35"/>
  </w:num>
  <w:num w:numId="8">
    <w:abstractNumId w:val="11"/>
  </w:num>
  <w:num w:numId="9">
    <w:abstractNumId w:val="6"/>
  </w:num>
  <w:num w:numId="10">
    <w:abstractNumId w:val="40"/>
  </w:num>
  <w:num w:numId="11">
    <w:abstractNumId w:val="10"/>
  </w:num>
  <w:num w:numId="12">
    <w:abstractNumId w:val="13"/>
  </w:num>
  <w:num w:numId="13">
    <w:abstractNumId w:val="49"/>
  </w:num>
  <w:num w:numId="14">
    <w:abstractNumId w:val="23"/>
  </w:num>
  <w:num w:numId="15">
    <w:abstractNumId w:val="27"/>
  </w:num>
  <w:num w:numId="16">
    <w:abstractNumId w:val="44"/>
  </w:num>
  <w:num w:numId="17">
    <w:abstractNumId w:val="22"/>
  </w:num>
  <w:num w:numId="18">
    <w:abstractNumId w:val="4"/>
  </w:num>
  <w:num w:numId="19">
    <w:abstractNumId w:val="2"/>
  </w:num>
  <w:num w:numId="20">
    <w:abstractNumId w:val="30"/>
  </w:num>
  <w:num w:numId="21">
    <w:abstractNumId w:val="9"/>
  </w:num>
  <w:num w:numId="22">
    <w:abstractNumId w:val="43"/>
  </w:num>
  <w:num w:numId="23">
    <w:abstractNumId w:val="21"/>
  </w:num>
  <w:num w:numId="24">
    <w:abstractNumId w:val="5"/>
  </w:num>
  <w:num w:numId="25">
    <w:abstractNumId w:val="28"/>
  </w:num>
  <w:num w:numId="26">
    <w:abstractNumId w:val="16"/>
  </w:num>
  <w:num w:numId="27">
    <w:abstractNumId w:val="37"/>
  </w:num>
  <w:num w:numId="28">
    <w:abstractNumId w:val="47"/>
  </w:num>
  <w:num w:numId="29">
    <w:abstractNumId w:val="7"/>
  </w:num>
  <w:num w:numId="30">
    <w:abstractNumId w:val="3"/>
  </w:num>
  <w:num w:numId="31">
    <w:abstractNumId w:val="36"/>
  </w:num>
  <w:num w:numId="32">
    <w:abstractNumId w:val="17"/>
  </w:num>
  <w:num w:numId="33">
    <w:abstractNumId w:val="18"/>
  </w:num>
  <w:num w:numId="34">
    <w:abstractNumId w:val="38"/>
  </w:num>
  <w:num w:numId="35">
    <w:abstractNumId w:val="8"/>
  </w:num>
  <w:num w:numId="36">
    <w:abstractNumId w:val="32"/>
  </w:num>
  <w:num w:numId="37">
    <w:abstractNumId w:val="42"/>
  </w:num>
  <w:num w:numId="38">
    <w:abstractNumId w:val="46"/>
  </w:num>
  <w:num w:numId="39">
    <w:abstractNumId w:val="39"/>
  </w:num>
  <w:num w:numId="40">
    <w:abstractNumId w:val="34"/>
  </w:num>
  <w:num w:numId="41">
    <w:abstractNumId w:val="14"/>
  </w:num>
  <w:num w:numId="42">
    <w:abstractNumId w:val="15"/>
  </w:num>
  <w:num w:numId="43">
    <w:abstractNumId w:val="41"/>
  </w:num>
  <w:num w:numId="44">
    <w:abstractNumId w:val="29"/>
  </w:num>
  <w:num w:numId="45">
    <w:abstractNumId w:val="25"/>
  </w:num>
  <w:num w:numId="46">
    <w:abstractNumId w:val="19"/>
  </w:num>
  <w:num w:numId="47">
    <w:abstractNumId w:val="1"/>
  </w:num>
  <w:num w:numId="48">
    <w:abstractNumId w:val="20"/>
  </w:num>
  <w:num w:numId="49">
    <w:abstractNumId w:val="31"/>
  </w:num>
  <w:num w:numId="50">
    <w:abstractNumId w:val="26"/>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18ED"/>
    <w:rsid w:val="00001253"/>
    <w:rsid w:val="00002A67"/>
    <w:rsid w:val="0000617F"/>
    <w:rsid w:val="000208D5"/>
    <w:rsid w:val="00021435"/>
    <w:rsid w:val="00024F13"/>
    <w:rsid w:val="00043579"/>
    <w:rsid w:val="00061D59"/>
    <w:rsid w:val="00067911"/>
    <w:rsid w:val="000726A8"/>
    <w:rsid w:val="00072E94"/>
    <w:rsid w:val="000772DC"/>
    <w:rsid w:val="000B2B1D"/>
    <w:rsid w:val="000B6961"/>
    <w:rsid w:val="000C20C5"/>
    <w:rsid w:val="000C46BF"/>
    <w:rsid w:val="000C4A8E"/>
    <w:rsid w:val="000C5F12"/>
    <w:rsid w:val="000E30BF"/>
    <w:rsid w:val="000F0708"/>
    <w:rsid w:val="000F2824"/>
    <w:rsid w:val="00100F46"/>
    <w:rsid w:val="00101EBF"/>
    <w:rsid w:val="00106665"/>
    <w:rsid w:val="00115FE3"/>
    <w:rsid w:val="001235A5"/>
    <w:rsid w:val="00124EB6"/>
    <w:rsid w:val="0012792B"/>
    <w:rsid w:val="001372E8"/>
    <w:rsid w:val="00151FE9"/>
    <w:rsid w:val="00161301"/>
    <w:rsid w:val="00164AED"/>
    <w:rsid w:val="0017018D"/>
    <w:rsid w:val="00172B21"/>
    <w:rsid w:val="0017452E"/>
    <w:rsid w:val="00183361"/>
    <w:rsid w:val="00183C62"/>
    <w:rsid w:val="00192A1D"/>
    <w:rsid w:val="001957AD"/>
    <w:rsid w:val="0019729A"/>
    <w:rsid w:val="001B5A9D"/>
    <w:rsid w:val="001B6357"/>
    <w:rsid w:val="001B64CA"/>
    <w:rsid w:val="001C6384"/>
    <w:rsid w:val="001D38EB"/>
    <w:rsid w:val="001E16FD"/>
    <w:rsid w:val="001E2FED"/>
    <w:rsid w:val="001E5AFE"/>
    <w:rsid w:val="001F5876"/>
    <w:rsid w:val="001F6236"/>
    <w:rsid w:val="002023FE"/>
    <w:rsid w:val="00207DA5"/>
    <w:rsid w:val="00245781"/>
    <w:rsid w:val="002553B4"/>
    <w:rsid w:val="00260AB3"/>
    <w:rsid w:val="00262FC3"/>
    <w:rsid w:val="002672FC"/>
    <w:rsid w:val="0028065B"/>
    <w:rsid w:val="00286B6D"/>
    <w:rsid w:val="002924D2"/>
    <w:rsid w:val="00293525"/>
    <w:rsid w:val="002B0DDD"/>
    <w:rsid w:val="002B59EF"/>
    <w:rsid w:val="002C478D"/>
    <w:rsid w:val="002C55D4"/>
    <w:rsid w:val="002D160B"/>
    <w:rsid w:val="002D263D"/>
    <w:rsid w:val="002D6614"/>
    <w:rsid w:val="002E0FF8"/>
    <w:rsid w:val="002E6476"/>
    <w:rsid w:val="0033205D"/>
    <w:rsid w:val="00341942"/>
    <w:rsid w:val="0034475B"/>
    <w:rsid w:val="0035540F"/>
    <w:rsid w:val="00360D53"/>
    <w:rsid w:val="0036210B"/>
    <w:rsid w:val="00365BA9"/>
    <w:rsid w:val="00365CE4"/>
    <w:rsid w:val="003708C7"/>
    <w:rsid w:val="0037201C"/>
    <w:rsid w:val="00375EC8"/>
    <w:rsid w:val="00385972"/>
    <w:rsid w:val="00393FEA"/>
    <w:rsid w:val="00397999"/>
    <w:rsid w:val="003A3D8B"/>
    <w:rsid w:val="003A5E26"/>
    <w:rsid w:val="003A6381"/>
    <w:rsid w:val="003B6115"/>
    <w:rsid w:val="003C35F7"/>
    <w:rsid w:val="003D4A05"/>
    <w:rsid w:val="003F17A5"/>
    <w:rsid w:val="003F3D9B"/>
    <w:rsid w:val="003F40C6"/>
    <w:rsid w:val="00416DEC"/>
    <w:rsid w:val="00431086"/>
    <w:rsid w:val="00441261"/>
    <w:rsid w:val="004455E1"/>
    <w:rsid w:val="00452212"/>
    <w:rsid w:val="00462E49"/>
    <w:rsid w:val="00470E27"/>
    <w:rsid w:val="0048093F"/>
    <w:rsid w:val="00485407"/>
    <w:rsid w:val="004900B0"/>
    <w:rsid w:val="004A48CD"/>
    <w:rsid w:val="004A752D"/>
    <w:rsid w:val="004B1350"/>
    <w:rsid w:val="004B6889"/>
    <w:rsid w:val="004B6C81"/>
    <w:rsid w:val="004C672E"/>
    <w:rsid w:val="004D257E"/>
    <w:rsid w:val="004D7FE0"/>
    <w:rsid w:val="004F0CF5"/>
    <w:rsid w:val="004F408C"/>
    <w:rsid w:val="004F430F"/>
    <w:rsid w:val="00504A5D"/>
    <w:rsid w:val="005053EA"/>
    <w:rsid w:val="00505623"/>
    <w:rsid w:val="00511208"/>
    <w:rsid w:val="005164F1"/>
    <w:rsid w:val="0052140E"/>
    <w:rsid w:val="0052442D"/>
    <w:rsid w:val="0053186E"/>
    <w:rsid w:val="00544261"/>
    <w:rsid w:val="005514B5"/>
    <w:rsid w:val="00553EB5"/>
    <w:rsid w:val="00556934"/>
    <w:rsid w:val="00565585"/>
    <w:rsid w:val="00566B18"/>
    <w:rsid w:val="00571275"/>
    <w:rsid w:val="005744A9"/>
    <w:rsid w:val="00575C70"/>
    <w:rsid w:val="00576A1A"/>
    <w:rsid w:val="005838EA"/>
    <w:rsid w:val="00585773"/>
    <w:rsid w:val="005C579E"/>
    <w:rsid w:val="005C77FC"/>
    <w:rsid w:val="005D04D6"/>
    <w:rsid w:val="005D1F07"/>
    <w:rsid w:val="005D316F"/>
    <w:rsid w:val="005E000D"/>
    <w:rsid w:val="00603193"/>
    <w:rsid w:val="00614513"/>
    <w:rsid w:val="00622ED8"/>
    <w:rsid w:val="006249FD"/>
    <w:rsid w:val="0063517D"/>
    <w:rsid w:val="00666BD1"/>
    <w:rsid w:val="00672D94"/>
    <w:rsid w:val="00676F84"/>
    <w:rsid w:val="006804CC"/>
    <w:rsid w:val="006840DD"/>
    <w:rsid w:val="0068782F"/>
    <w:rsid w:val="006906C3"/>
    <w:rsid w:val="00693FA2"/>
    <w:rsid w:val="006A286A"/>
    <w:rsid w:val="006A4217"/>
    <w:rsid w:val="006B1667"/>
    <w:rsid w:val="006B21CA"/>
    <w:rsid w:val="006C3B63"/>
    <w:rsid w:val="006C51BB"/>
    <w:rsid w:val="006C7AB7"/>
    <w:rsid w:val="006E13D7"/>
    <w:rsid w:val="00703D09"/>
    <w:rsid w:val="0071316F"/>
    <w:rsid w:val="00714F6D"/>
    <w:rsid w:val="00725808"/>
    <w:rsid w:val="00730B9F"/>
    <w:rsid w:val="00735906"/>
    <w:rsid w:val="00737C08"/>
    <w:rsid w:val="007450C9"/>
    <w:rsid w:val="007465C4"/>
    <w:rsid w:val="0075366D"/>
    <w:rsid w:val="00762AD2"/>
    <w:rsid w:val="00766FA0"/>
    <w:rsid w:val="00770C90"/>
    <w:rsid w:val="0078136E"/>
    <w:rsid w:val="0078142D"/>
    <w:rsid w:val="00785910"/>
    <w:rsid w:val="007909B1"/>
    <w:rsid w:val="007A6612"/>
    <w:rsid w:val="007A72B4"/>
    <w:rsid w:val="007A7648"/>
    <w:rsid w:val="007C4020"/>
    <w:rsid w:val="007C690E"/>
    <w:rsid w:val="007D5680"/>
    <w:rsid w:val="007F4917"/>
    <w:rsid w:val="007F5DBD"/>
    <w:rsid w:val="00802580"/>
    <w:rsid w:val="00802FBE"/>
    <w:rsid w:val="008172BB"/>
    <w:rsid w:val="00825EB8"/>
    <w:rsid w:val="00837814"/>
    <w:rsid w:val="008412FD"/>
    <w:rsid w:val="00856392"/>
    <w:rsid w:val="00857E6D"/>
    <w:rsid w:val="00860654"/>
    <w:rsid w:val="00860E63"/>
    <w:rsid w:val="00862CBB"/>
    <w:rsid w:val="00862E79"/>
    <w:rsid w:val="00896408"/>
    <w:rsid w:val="008A0342"/>
    <w:rsid w:val="008A42A7"/>
    <w:rsid w:val="008D193F"/>
    <w:rsid w:val="008D493B"/>
    <w:rsid w:val="008D69A9"/>
    <w:rsid w:val="008F3207"/>
    <w:rsid w:val="008F4513"/>
    <w:rsid w:val="00900A98"/>
    <w:rsid w:val="00901258"/>
    <w:rsid w:val="00922798"/>
    <w:rsid w:val="009264AB"/>
    <w:rsid w:val="009302FC"/>
    <w:rsid w:val="00931200"/>
    <w:rsid w:val="009367BE"/>
    <w:rsid w:val="00942F98"/>
    <w:rsid w:val="00945406"/>
    <w:rsid w:val="00946303"/>
    <w:rsid w:val="009564F5"/>
    <w:rsid w:val="009728BA"/>
    <w:rsid w:val="009740DC"/>
    <w:rsid w:val="00975928"/>
    <w:rsid w:val="009770FF"/>
    <w:rsid w:val="00977DCA"/>
    <w:rsid w:val="00981DB6"/>
    <w:rsid w:val="00983106"/>
    <w:rsid w:val="00985FB1"/>
    <w:rsid w:val="009A0611"/>
    <w:rsid w:val="009A227B"/>
    <w:rsid w:val="009B0D5F"/>
    <w:rsid w:val="009B505D"/>
    <w:rsid w:val="009C560E"/>
    <w:rsid w:val="009E25DD"/>
    <w:rsid w:val="009E46CD"/>
    <w:rsid w:val="009F7D8C"/>
    <w:rsid w:val="00A3315E"/>
    <w:rsid w:val="00A33CD1"/>
    <w:rsid w:val="00A42CFD"/>
    <w:rsid w:val="00A567A6"/>
    <w:rsid w:val="00A57F10"/>
    <w:rsid w:val="00A6097D"/>
    <w:rsid w:val="00A6549D"/>
    <w:rsid w:val="00A84885"/>
    <w:rsid w:val="00A85FCC"/>
    <w:rsid w:val="00A86FE6"/>
    <w:rsid w:val="00A92581"/>
    <w:rsid w:val="00A95743"/>
    <w:rsid w:val="00AB2388"/>
    <w:rsid w:val="00AB2EE0"/>
    <w:rsid w:val="00AB353D"/>
    <w:rsid w:val="00AB5904"/>
    <w:rsid w:val="00AC5D2E"/>
    <w:rsid w:val="00AC5E23"/>
    <w:rsid w:val="00AC643E"/>
    <w:rsid w:val="00AD22CF"/>
    <w:rsid w:val="00B02645"/>
    <w:rsid w:val="00B02AA0"/>
    <w:rsid w:val="00B03ED8"/>
    <w:rsid w:val="00B04A30"/>
    <w:rsid w:val="00B06102"/>
    <w:rsid w:val="00B14E92"/>
    <w:rsid w:val="00B1604D"/>
    <w:rsid w:val="00B17737"/>
    <w:rsid w:val="00B27481"/>
    <w:rsid w:val="00B30D5D"/>
    <w:rsid w:val="00B32A5A"/>
    <w:rsid w:val="00B36837"/>
    <w:rsid w:val="00B368D9"/>
    <w:rsid w:val="00B45F1D"/>
    <w:rsid w:val="00B5007A"/>
    <w:rsid w:val="00B53811"/>
    <w:rsid w:val="00B715F8"/>
    <w:rsid w:val="00B7205F"/>
    <w:rsid w:val="00B72FED"/>
    <w:rsid w:val="00B7629B"/>
    <w:rsid w:val="00B92702"/>
    <w:rsid w:val="00B9752A"/>
    <w:rsid w:val="00BA1494"/>
    <w:rsid w:val="00BA67AF"/>
    <w:rsid w:val="00BA7DF0"/>
    <w:rsid w:val="00BB2430"/>
    <w:rsid w:val="00BB4EDC"/>
    <w:rsid w:val="00BB7B54"/>
    <w:rsid w:val="00BC5B4A"/>
    <w:rsid w:val="00BD2325"/>
    <w:rsid w:val="00BE1A22"/>
    <w:rsid w:val="00BE25D1"/>
    <w:rsid w:val="00BE4063"/>
    <w:rsid w:val="00BF6ABA"/>
    <w:rsid w:val="00C1560A"/>
    <w:rsid w:val="00C21130"/>
    <w:rsid w:val="00C23EBA"/>
    <w:rsid w:val="00C25ED8"/>
    <w:rsid w:val="00C35309"/>
    <w:rsid w:val="00C35F8F"/>
    <w:rsid w:val="00C43A6C"/>
    <w:rsid w:val="00C60FA1"/>
    <w:rsid w:val="00C61B53"/>
    <w:rsid w:val="00C62894"/>
    <w:rsid w:val="00C720A2"/>
    <w:rsid w:val="00C767FF"/>
    <w:rsid w:val="00C77098"/>
    <w:rsid w:val="00C84586"/>
    <w:rsid w:val="00C8496C"/>
    <w:rsid w:val="00C84D85"/>
    <w:rsid w:val="00C8651A"/>
    <w:rsid w:val="00C97D1D"/>
    <w:rsid w:val="00CA3468"/>
    <w:rsid w:val="00CA5642"/>
    <w:rsid w:val="00CB46B9"/>
    <w:rsid w:val="00CB5A40"/>
    <w:rsid w:val="00CC1CA7"/>
    <w:rsid w:val="00CD1737"/>
    <w:rsid w:val="00CD47A3"/>
    <w:rsid w:val="00CE155D"/>
    <w:rsid w:val="00CE1BFF"/>
    <w:rsid w:val="00CE6CB0"/>
    <w:rsid w:val="00CE7B9C"/>
    <w:rsid w:val="00D03072"/>
    <w:rsid w:val="00D039D3"/>
    <w:rsid w:val="00D213F0"/>
    <w:rsid w:val="00D26016"/>
    <w:rsid w:val="00D26541"/>
    <w:rsid w:val="00D44A43"/>
    <w:rsid w:val="00D452D3"/>
    <w:rsid w:val="00D54895"/>
    <w:rsid w:val="00D54FDE"/>
    <w:rsid w:val="00D55129"/>
    <w:rsid w:val="00D577BB"/>
    <w:rsid w:val="00D66AFD"/>
    <w:rsid w:val="00D677A2"/>
    <w:rsid w:val="00D722F6"/>
    <w:rsid w:val="00D77523"/>
    <w:rsid w:val="00D85498"/>
    <w:rsid w:val="00D923BE"/>
    <w:rsid w:val="00D92AB5"/>
    <w:rsid w:val="00DA0503"/>
    <w:rsid w:val="00DB075A"/>
    <w:rsid w:val="00DB14C6"/>
    <w:rsid w:val="00DB1DB0"/>
    <w:rsid w:val="00DB5084"/>
    <w:rsid w:val="00DB6ED2"/>
    <w:rsid w:val="00DC2E6E"/>
    <w:rsid w:val="00DD11CB"/>
    <w:rsid w:val="00DD5ECB"/>
    <w:rsid w:val="00DD6D69"/>
    <w:rsid w:val="00DE1BAA"/>
    <w:rsid w:val="00DE3E78"/>
    <w:rsid w:val="00DE57C8"/>
    <w:rsid w:val="00E10C1F"/>
    <w:rsid w:val="00E17223"/>
    <w:rsid w:val="00E20E32"/>
    <w:rsid w:val="00E2157C"/>
    <w:rsid w:val="00E25B87"/>
    <w:rsid w:val="00E2644F"/>
    <w:rsid w:val="00E30C81"/>
    <w:rsid w:val="00E33BAF"/>
    <w:rsid w:val="00E34104"/>
    <w:rsid w:val="00E35A6D"/>
    <w:rsid w:val="00E35E76"/>
    <w:rsid w:val="00E53B55"/>
    <w:rsid w:val="00E55D5E"/>
    <w:rsid w:val="00E62458"/>
    <w:rsid w:val="00E658DA"/>
    <w:rsid w:val="00E708B5"/>
    <w:rsid w:val="00E7173D"/>
    <w:rsid w:val="00E71E86"/>
    <w:rsid w:val="00E73C4A"/>
    <w:rsid w:val="00E86352"/>
    <w:rsid w:val="00E908CC"/>
    <w:rsid w:val="00E9445D"/>
    <w:rsid w:val="00EA269B"/>
    <w:rsid w:val="00EB1200"/>
    <w:rsid w:val="00EB26FB"/>
    <w:rsid w:val="00EB2E7D"/>
    <w:rsid w:val="00EC2F3D"/>
    <w:rsid w:val="00EC7763"/>
    <w:rsid w:val="00EE0DF0"/>
    <w:rsid w:val="00EE2EAD"/>
    <w:rsid w:val="00EE7D40"/>
    <w:rsid w:val="00EF0525"/>
    <w:rsid w:val="00EF1292"/>
    <w:rsid w:val="00EF17E4"/>
    <w:rsid w:val="00EF603E"/>
    <w:rsid w:val="00F04346"/>
    <w:rsid w:val="00F058B8"/>
    <w:rsid w:val="00F0627C"/>
    <w:rsid w:val="00F1618E"/>
    <w:rsid w:val="00F23CF7"/>
    <w:rsid w:val="00F346B4"/>
    <w:rsid w:val="00F512F5"/>
    <w:rsid w:val="00F61675"/>
    <w:rsid w:val="00F618ED"/>
    <w:rsid w:val="00F667B2"/>
    <w:rsid w:val="00F749FA"/>
    <w:rsid w:val="00F74C55"/>
    <w:rsid w:val="00F81C1C"/>
    <w:rsid w:val="00F81F53"/>
    <w:rsid w:val="00F82736"/>
    <w:rsid w:val="00F83124"/>
    <w:rsid w:val="00F8504A"/>
    <w:rsid w:val="00F86871"/>
    <w:rsid w:val="00F90CFF"/>
    <w:rsid w:val="00F92325"/>
    <w:rsid w:val="00F9530A"/>
    <w:rsid w:val="00FA2D6F"/>
    <w:rsid w:val="00FC7919"/>
    <w:rsid w:val="00FD0EBD"/>
    <w:rsid w:val="00FD5026"/>
    <w:rsid w:val="00FE1148"/>
    <w:rsid w:val="00FF199B"/>
    <w:rsid w:val="00FF2AF8"/>
    <w:rsid w:val="00FF6435"/>
  </w:rsids>
  <m:mathPr>
    <m:mathFont m:val="Cambria Math"/>
    <m:brkBin m:val="before"/>
    <m:brkBinSub m:val="--"/>
    <m:smallFrac m:val="0"/>
    <m:dispDef/>
    <m:lMargin m:val="0"/>
    <m:rMargin m:val="0"/>
    <m:defJc m:val="centerGroup"/>
    <m:wrapIndent m:val="1440"/>
    <m:intLim m:val="subSup"/>
    <m:naryLim m:val="undOvr"/>
  </m:mathPr>
  <w:themeFontLang w:val="sv-SE" w:eastAsia="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FB0EE4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imes New Roman" w:hAnsi="Times New Roman" w:cs="Times New Roman"/>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618ED"/>
    <w:pPr>
      <w:spacing w:after="0" w:line="240" w:lineRule="auto"/>
    </w:pPr>
    <w:rPr>
      <w:rFonts w:ascii="Times New Roman"/>
      <w:sz w:val="20"/>
      <w:szCs w:val="24"/>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B14E92"/>
    <w:pPr>
      <w:keepNext/>
      <w:numPr>
        <w:numId w:val="1"/>
      </w:numPr>
      <w:tabs>
        <w:tab w:val="clear" w:pos="2835"/>
        <w:tab w:val="num" w:pos="3544"/>
      </w:tabs>
      <w:spacing w:before="180" w:after="60"/>
      <w:ind w:left="851" w:hanging="851"/>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
    <w:basedOn w:val="Normal"/>
    <w:next w:val="BodyText"/>
    <w:link w:val="Heading2Char"/>
    <w:qFormat/>
    <w:rsid w:val="00B14E92"/>
    <w:pPr>
      <w:keepNext/>
      <w:numPr>
        <w:ilvl w:val="1"/>
        <w:numId w:val="1"/>
      </w:numPr>
      <w:tabs>
        <w:tab w:val="clear" w:pos="3447"/>
      </w:tabs>
      <w:spacing w:before="240" w:after="60"/>
      <w:ind w:left="851" w:hanging="851"/>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F618ED"/>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F618ED"/>
    <w:pPr>
      <w:keepNext/>
      <w:numPr>
        <w:ilvl w:val="3"/>
        <w:numId w:val="1"/>
      </w:numPr>
      <w:spacing w:before="240" w:after="60"/>
      <w:outlineLvl w:val="3"/>
    </w:pPr>
    <w:rPr>
      <w:rFonts w:eastAsia="MS Mincho"/>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B14E92"/>
    <w:rPr>
      <w:rFonts w:ascii="Helvetica" w:eastAsia="MS Mincho" w:hAnsi="Helvetica" w:cs="Arial"/>
      <w:b/>
      <w:bCs/>
      <w:kern w:val="32"/>
      <w:sz w:val="28"/>
      <w:szCs w:val="32"/>
    </w:rPr>
  </w:style>
  <w:style w:type="character" w:customStyle="1" w:styleId="Heading2Char">
    <w:name w:val="Heading 2 Char"/>
    <w:aliases w:val="Head2A Char,2 Char,H2 Char1,UNDERRUBRIK 1-2 Char,DO NOT USE_h2 Char,h2 Char1,h21 Char,H2 Char Char,h2 Char Char"/>
    <w:basedOn w:val="DefaultParagraphFont"/>
    <w:link w:val="Heading2"/>
    <w:rsid w:val="00B14E92"/>
    <w:rPr>
      <w:rFonts w:ascii="Helvetica" w:eastAsia="MS Mincho" w:hAnsi="Helvetica" w:cs="Arial"/>
      <w:b/>
      <w:bCs/>
      <w:iCs/>
      <w:sz w:val="20"/>
      <w:szCs w:val="28"/>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F618ED"/>
    <w:rPr>
      <w:rFonts w:ascii="Arial" w:eastAsia="MS Mincho" w:hAnsi="Arial" w:cs="Arial"/>
      <w:b/>
      <w:bCs/>
      <w:sz w:val="26"/>
      <w:szCs w:val="26"/>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618ED"/>
    <w:rPr>
      <w:rFonts w:ascii="Times New Roman" w:eastAsia="MS Mincho"/>
      <w:b/>
      <w:bCs/>
      <w:sz w:val="28"/>
      <w:szCs w:val="28"/>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F618ED"/>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F618ED"/>
    <w:rPr>
      <w:rFonts w:ascii="Times New Roman" w:eastAsia="MS Mincho"/>
      <w:sz w:val="20"/>
      <w:szCs w:val="24"/>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F618ED"/>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F618ED"/>
    <w:rPr>
      <w:rFonts w:ascii="Arial" w:eastAsia="MS Mincho" w:hAnsi="Arial"/>
      <w:b/>
      <w:sz w:val="20"/>
      <w:szCs w:val="24"/>
    </w:rPr>
  </w:style>
  <w:style w:type="table" w:styleId="TableGrid">
    <w:name w:val="Table Grid"/>
    <w:basedOn w:val="TableNormal"/>
    <w:uiPriority w:val="59"/>
    <w:rsid w:val="000208D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cap1,cap2,cap11,Légende-figure,Légende-figure Char,Beschrifubg,Beschriftung Char,label,cap11 Char,cap11 Char Char Char,captions,Beschriftung Char Char"/>
    <w:basedOn w:val="Normal"/>
    <w:next w:val="Normal"/>
    <w:link w:val="CaptionChar1"/>
    <w:unhideWhenUsed/>
    <w:qFormat/>
    <w:rsid w:val="009E46CD"/>
    <w:pPr>
      <w:spacing w:after="200"/>
    </w:pPr>
    <w:rPr>
      <w:iCs/>
      <w:sz w:val="18"/>
      <w:szCs w:val="18"/>
    </w:rPr>
  </w:style>
  <w:style w:type="paragraph" w:styleId="Footer">
    <w:name w:val="footer"/>
    <w:basedOn w:val="Normal"/>
    <w:link w:val="FooterChar"/>
    <w:uiPriority w:val="99"/>
    <w:unhideWhenUsed/>
    <w:rsid w:val="00896408"/>
    <w:pPr>
      <w:tabs>
        <w:tab w:val="center" w:pos="4536"/>
        <w:tab w:val="right" w:pos="9072"/>
      </w:tabs>
    </w:pPr>
  </w:style>
  <w:style w:type="character" w:customStyle="1" w:styleId="FooterChar">
    <w:name w:val="Footer Char"/>
    <w:basedOn w:val="DefaultParagraphFont"/>
    <w:link w:val="Footer"/>
    <w:uiPriority w:val="99"/>
    <w:rsid w:val="00896408"/>
    <w:rPr>
      <w:rFonts w:ascii="Times New Roman"/>
      <w:sz w:val="20"/>
      <w:szCs w:val="24"/>
    </w:rPr>
  </w:style>
  <w:style w:type="paragraph" w:styleId="ListParagraph">
    <w:name w:val="List Paragraph"/>
    <w:aliases w:val="- Bullets,목록 단락,リスト段落,?? ??,?????,????,列出段落"/>
    <w:basedOn w:val="Normal"/>
    <w:link w:val="ListParagraphChar"/>
    <w:uiPriority w:val="34"/>
    <w:qFormat/>
    <w:rsid w:val="007C690E"/>
    <w:pPr>
      <w:ind w:left="720"/>
      <w:contextualSpacing/>
    </w:pPr>
  </w:style>
  <w:style w:type="character" w:styleId="Hyperlink">
    <w:name w:val="Hyperlink"/>
    <w:basedOn w:val="DefaultParagraphFont"/>
    <w:uiPriority w:val="99"/>
    <w:semiHidden/>
    <w:unhideWhenUsed/>
    <w:rsid w:val="00E55D5E"/>
    <w:rPr>
      <w:color w:val="0000FF"/>
      <w:u w:val="single"/>
    </w:rPr>
  </w:style>
  <w:style w:type="paragraph" w:customStyle="1" w:styleId="maintext">
    <w:name w:val="main text"/>
    <w:basedOn w:val="Normal"/>
    <w:link w:val="maintextChar"/>
    <w:qFormat/>
    <w:rsid w:val="00416DEC"/>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416DEC"/>
    <w:rPr>
      <w:rFonts w:ascii="Times New Roman" w:eastAsia="Malgun Gothic" w:cs="Batang"/>
      <w:sz w:val="20"/>
      <w:szCs w:val="20"/>
      <w:lang w:val="en-GB" w:eastAsia="ko-KR"/>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link w:val="Caption"/>
    <w:rsid w:val="00416DEC"/>
    <w:rPr>
      <w:rFonts w:ascii="Times New Roman"/>
      <w:iCs/>
      <w:sz w:val="18"/>
      <w:szCs w:val="18"/>
    </w:rPr>
  </w:style>
  <w:style w:type="character" w:customStyle="1" w:styleId="ListParagraphChar">
    <w:name w:val="List Paragraph Char"/>
    <w:aliases w:val="- Bullets Char,목록 단락 Char,リスト段落 Char,?? ?? Char,????? Char,???? Char,列出段落 Char"/>
    <w:link w:val="ListParagraph"/>
    <w:uiPriority w:val="34"/>
    <w:qFormat/>
    <w:rsid w:val="00416DEC"/>
    <w:rPr>
      <w:rFonts w:ascii="Times New Roman"/>
      <w:sz w:val="20"/>
      <w:szCs w:val="24"/>
    </w:rPr>
  </w:style>
  <w:style w:type="character" w:customStyle="1" w:styleId="RAN1bullet1Char">
    <w:name w:val="RAN1 bullet1 Char"/>
    <w:link w:val="RAN1bullet1"/>
    <w:locked/>
    <w:rsid w:val="001B6357"/>
    <w:rPr>
      <w:rFonts w:ascii="Times" w:hAnsi="Times" w:cs="Times"/>
      <w:szCs w:val="24"/>
      <w:lang w:val="en-GB" w:eastAsia="x-none"/>
    </w:rPr>
  </w:style>
  <w:style w:type="paragraph" w:customStyle="1" w:styleId="RAN1bullet1">
    <w:name w:val="RAN1 bullet1"/>
    <w:basedOn w:val="Normal"/>
    <w:link w:val="RAN1bullet1Char"/>
    <w:qFormat/>
    <w:rsid w:val="001B6357"/>
    <w:pPr>
      <w:spacing w:line="259" w:lineRule="auto"/>
    </w:pPr>
    <w:rPr>
      <w:rFonts w:ascii="Times" w:hAnsi="Times" w:cs="Times"/>
      <w:sz w:val="22"/>
      <w:lang w:val="en-GB" w:eastAsia="x-none"/>
    </w:rPr>
  </w:style>
  <w:style w:type="character" w:customStyle="1" w:styleId="RAN1bullet2Char">
    <w:name w:val="RAN1 bullet2 Char"/>
    <w:link w:val="RAN1bullet2"/>
    <w:locked/>
    <w:rsid w:val="001B6357"/>
    <w:rPr>
      <w:rFonts w:ascii="Times" w:hAnsi="Times" w:cs="Times"/>
    </w:rPr>
  </w:style>
  <w:style w:type="paragraph" w:customStyle="1" w:styleId="RAN1bullet2">
    <w:name w:val="RAN1 bullet2"/>
    <w:basedOn w:val="Normal"/>
    <w:link w:val="RAN1bullet2Char"/>
    <w:qFormat/>
    <w:rsid w:val="001B6357"/>
    <w:pPr>
      <w:numPr>
        <w:ilvl w:val="1"/>
        <w:numId w:val="2"/>
      </w:numPr>
      <w:tabs>
        <w:tab w:val="left" w:pos="1440"/>
      </w:tabs>
      <w:spacing w:line="259" w:lineRule="auto"/>
    </w:pPr>
    <w:rPr>
      <w:rFonts w:ascii="Times" w:hAnsi="Times" w:cs="Times"/>
      <w:sz w:val="22"/>
      <w:szCs w:val="22"/>
    </w:rPr>
  </w:style>
  <w:style w:type="character" w:customStyle="1" w:styleId="RAN1bullet3Char">
    <w:name w:val="RAN1 bullet3 Char"/>
    <w:link w:val="RAN1bullet3"/>
    <w:locked/>
    <w:rsid w:val="001B6357"/>
    <w:rPr>
      <w:rFonts w:ascii="Times" w:hAnsi="Times" w:cs="Times"/>
    </w:rPr>
  </w:style>
  <w:style w:type="paragraph" w:customStyle="1" w:styleId="RAN1bullet3">
    <w:name w:val="RAN1 bullet3"/>
    <w:basedOn w:val="RAN1bullet2"/>
    <w:link w:val="RAN1bullet3Char"/>
    <w:qFormat/>
    <w:rsid w:val="001B6357"/>
    <w:pPr>
      <w:numPr>
        <w:ilvl w:val="2"/>
        <w:numId w:val="3"/>
      </w:numPr>
    </w:pPr>
  </w:style>
  <w:style w:type="paragraph" w:customStyle="1" w:styleId="B1">
    <w:name w:val="B1"/>
    <w:basedOn w:val="List"/>
    <w:link w:val="B1Zchn"/>
    <w:qFormat/>
    <w:rsid w:val="001F5876"/>
    <w:pPr>
      <w:spacing w:after="180"/>
      <w:ind w:left="568" w:hanging="284"/>
      <w:contextualSpacing w:val="0"/>
    </w:pPr>
    <w:rPr>
      <w:rFonts w:eastAsia="MS Gothic"/>
      <w:sz w:val="24"/>
    </w:rPr>
  </w:style>
  <w:style w:type="character" w:customStyle="1" w:styleId="B1Zchn">
    <w:name w:val="B1 Zchn"/>
    <w:link w:val="B1"/>
    <w:rsid w:val="001F5876"/>
    <w:rPr>
      <w:rFonts w:ascii="Times New Roman" w:eastAsia="MS Gothic"/>
      <w:sz w:val="24"/>
      <w:szCs w:val="24"/>
    </w:rPr>
  </w:style>
  <w:style w:type="paragraph" w:styleId="List">
    <w:name w:val="List"/>
    <w:basedOn w:val="Normal"/>
    <w:uiPriority w:val="99"/>
    <w:semiHidden/>
    <w:unhideWhenUsed/>
    <w:rsid w:val="001F5876"/>
    <w:pPr>
      <w:ind w:left="283" w:hanging="283"/>
      <w:contextualSpacing/>
    </w:pPr>
  </w:style>
  <w:style w:type="character" w:customStyle="1" w:styleId="B1Char1">
    <w:name w:val="B1 Char1"/>
    <w:rsid w:val="00B72FED"/>
    <w:rPr>
      <w:lang w:val="en-GB" w:eastAsia="en-US"/>
    </w:rPr>
  </w:style>
  <w:style w:type="paragraph" w:customStyle="1" w:styleId="Text">
    <w:name w:val="Text"/>
    <w:rsid w:val="004B6C81"/>
    <w:pPr>
      <w:keepLines/>
      <w:tabs>
        <w:tab w:val="left" w:pos="2552"/>
        <w:tab w:val="left" w:pos="3856"/>
        <w:tab w:val="left" w:pos="5216"/>
        <w:tab w:val="left" w:pos="6464"/>
        <w:tab w:val="left" w:pos="7768"/>
        <w:tab w:val="left" w:pos="9072"/>
        <w:tab w:val="left" w:pos="9639"/>
      </w:tabs>
      <w:spacing w:after="0" w:line="240" w:lineRule="auto"/>
    </w:pPr>
    <w:rPr>
      <w:rFonts w:ascii="Arial" w:hAnsi="Arial"/>
      <w:sz w:val="20"/>
      <w:szCs w:val="20"/>
    </w:rPr>
  </w:style>
  <w:style w:type="paragraph" w:customStyle="1" w:styleId="Comments">
    <w:name w:val="Comments"/>
    <w:basedOn w:val="Normal"/>
    <w:link w:val="CommentsChar"/>
    <w:qFormat/>
    <w:rsid w:val="00B06102"/>
    <w:pPr>
      <w:spacing w:before="40"/>
    </w:pPr>
    <w:rPr>
      <w:rFonts w:ascii="Arial" w:eastAsia="MS Mincho" w:hAnsi="Arial"/>
      <w:i/>
      <w:sz w:val="18"/>
      <w:lang w:val="en-GB" w:eastAsia="en-GB"/>
    </w:rPr>
  </w:style>
  <w:style w:type="character" w:customStyle="1" w:styleId="CommentsChar">
    <w:name w:val="Comments Char"/>
    <w:link w:val="Comments"/>
    <w:rsid w:val="00B06102"/>
    <w:rPr>
      <w:rFonts w:ascii="Arial" w:eastAsia="MS Mincho" w:hAnsi="Arial"/>
      <w:i/>
      <w:sz w:val="18"/>
      <w:szCs w:val="24"/>
      <w:lang w:val="en-GB" w:eastAsia="en-GB"/>
    </w:rPr>
  </w:style>
  <w:style w:type="character" w:customStyle="1" w:styleId="B2Char">
    <w:name w:val="B2 Char"/>
    <w:basedOn w:val="DefaultParagraphFont"/>
    <w:link w:val="B2"/>
    <w:uiPriority w:val="99"/>
    <w:qFormat/>
    <w:locked/>
    <w:rsid w:val="00E86352"/>
  </w:style>
  <w:style w:type="paragraph" w:customStyle="1" w:styleId="B2">
    <w:name w:val="B2"/>
    <w:basedOn w:val="Normal"/>
    <w:link w:val="B2Char"/>
    <w:uiPriority w:val="99"/>
    <w:qFormat/>
    <w:rsid w:val="00E86352"/>
    <w:pPr>
      <w:spacing w:after="180"/>
      <w:ind w:left="851" w:hanging="284"/>
    </w:pPr>
    <w:rPr>
      <w:rFonts w:asciiTheme="minorHAnsi"/>
      <w:sz w:val="22"/>
      <w:szCs w:val="22"/>
    </w:rPr>
  </w:style>
  <w:style w:type="paragraph" w:customStyle="1" w:styleId="text0">
    <w:name w:val="text"/>
    <w:basedOn w:val="Normal"/>
    <w:link w:val="textChar"/>
    <w:qFormat/>
    <w:rsid w:val="00E35A6D"/>
    <w:pPr>
      <w:spacing w:after="240"/>
      <w:jc w:val="both"/>
    </w:pPr>
    <w:rPr>
      <w:rFonts w:eastAsia="MS Gothic"/>
      <w:sz w:val="24"/>
      <w:szCs w:val="20"/>
      <w:lang w:eastAsia="ja-JP"/>
    </w:rPr>
  </w:style>
  <w:style w:type="character" w:customStyle="1" w:styleId="textChar">
    <w:name w:val="text Char"/>
    <w:basedOn w:val="DefaultParagraphFont"/>
    <w:link w:val="text0"/>
    <w:rsid w:val="00E35A6D"/>
    <w:rPr>
      <w:rFonts w:ascii="Times New Roman" w:eastAsia="MS Gothic"/>
      <w:sz w:val="24"/>
      <w:szCs w:val="20"/>
      <w:lang w:eastAsia="ja-JP"/>
    </w:rPr>
  </w:style>
  <w:style w:type="paragraph" w:styleId="BalloonText">
    <w:name w:val="Balloon Text"/>
    <w:basedOn w:val="Normal"/>
    <w:link w:val="BalloonTextChar"/>
    <w:uiPriority w:val="99"/>
    <w:semiHidden/>
    <w:unhideWhenUsed/>
    <w:rsid w:val="00C21130"/>
    <w:rPr>
      <w:rFonts w:ascii="Arial" w:hAnsi="Arial" w:cs="Arial"/>
      <w:sz w:val="18"/>
      <w:szCs w:val="18"/>
    </w:rPr>
  </w:style>
  <w:style w:type="character" w:customStyle="1" w:styleId="BalloonTextChar">
    <w:name w:val="Balloon Text Char"/>
    <w:basedOn w:val="DefaultParagraphFont"/>
    <w:link w:val="BalloonText"/>
    <w:uiPriority w:val="99"/>
    <w:semiHidden/>
    <w:rsid w:val="00C21130"/>
    <w:rPr>
      <w:rFonts w:ascii="Arial" w:hAnsi="Arial" w:cs="Arial"/>
      <w:sz w:val="18"/>
      <w:szCs w:val="18"/>
    </w:rPr>
  </w:style>
  <w:style w:type="character" w:styleId="CommentReference">
    <w:name w:val="annotation reference"/>
    <w:basedOn w:val="DefaultParagraphFont"/>
    <w:unhideWhenUsed/>
    <w:qFormat/>
    <w:rsid w:val="00100F46"/>
    <w:rPr>
      <w:sz w:val="16"/>
      <w:szCs w:val="16"/>
    </w:rPr>
  </w:style>
  <w:style w:type="paragraph" w:styleId="CommentText">
    <w:name w:val="annotation text"/>
    <w:basedOn w:val="Normal"/>
    <w:link w:val="CommentTextChar"/>
    <w:unhideWhenUsed/>
    <w:qFormat/>
    <w:rsid w:val="00100F46"/>
    <w:rPr>
      <w:szCs w:val="20"/>
    </w:rPr>
  </w:style>
  <w:style w:type="character" w:customStyle="1" w:styleId="CommentTextChar">
    <w:name w:val="Comment Text Char"/>
    <w:basedOn w:val="DefaultParagraphFont"/>
    <w:link w:val="CommentText"/>
    <w:qFormat/>
    <w:rsid w:val="00100F46"/>
    <w:rPr>
      <w:rFonts w:ascii="Times New Roman"/>
      <w:sz w:val="20"/>
      <w:szCs w:val="20"/>
    </w:rPr>
  </w:style>
  <w:style w:type="paragraph" w:styleId="CommentSubject">
    <w:name w:val="annotation subject"/>
    <w:basedOn w:val="CommentText"/>
    <w:next w:val="CommentText"/>
    <w:link w:val="CommentSubjectChar"/>
    <w:uiPriority w:val="99"/>
    <w:semiHidden/>
    <w:unhideWhenUsed/>
    <w:rsid w:val="00100F46"/>
    <w:rPr>
      <w:b/>
      <w:bCs/>
    </w:rPr>
  </w:style>
  <w:style w:type="character" w:customStyle="1" w:styleId="CommentSubjectChar">
    <w:name w:val="Comment Subject Char"/>
    <w:basedOn w:val="CommentTextChar"/>
    <w:link w:val="CommentSubject"/>
    <w:uiPriority w:val="99"/>
    <w:semiHidden/>
    <w:rsid w:val="00100F46"/>
    <w:rPr>
      <w:rFonts w:ascii="Times New Roman"/>
      <w:b/>
      <w:bCs/>
      <w:sz w:val="20"/>
      <w:szCs w:val="20"/>
    </w:rPr>
  </w:style>
  <w:style w:type="paragraph" w:customStyle="1" w:styleId="TAH">
    <w:name w:val="TAH"/>
    <w:basedOn w:val="Normal"/>
    <w:link w:val="TAHCar"/>
    <w:rsid w:val="009728BA"/>
    <w:pPr>
      <w:keepNext/>
      <w:keepLines/>
      <w:overflowPunct w:val="0"/>
      <w:autoSpaceDE w:val="0"/>
      <w:autoSpaceDN w:val="0"/>
      <w:adjustRightInd w:val="0"/>
      <w:jc w:val="center"/>
      <w:textAlignment w:val="baseline"/>
    </w:pPr>
    <w:rPr>
      <w:rFonts w:ascii="Arial" w:hAnsi="Arial"/>
      <w:b/>
      <w:sz w:val="18"/>
      <w:szCs w:val="20"/>
      <w:lang w:val="x-none" w:eastAsia="x-none"/>
    </w:rPr>
  </w:style>
  <w:style w:type="paragraph" w:customStyle="1" w:styleId="TAL">
    <w:name w:val="TAL"/>
    <w:basedOn w:val="Normal"/>
    <w:link w:val="TALCar"/>
    <w:rsid w:val="009728BA"/>
    <w:pPr>
      <w:keepNext/>
      <w:keepLines/>
      <w:overflowPunct w:val="0"/>
      <w:autoSpaceDE w:val="0"/>
      <w:autoSpaceDN w:val="0"/>
      <w:adjustRightInd w:val="0"/>
      <w:textAlignment w:val="baseline"/>
    </w:pPr>
    <w:rPr>
      <w:rFonts w:ascii="Arial" w:hAnsi="Arial"/>
      <w:sz w:val="18"/>
      <w:szCs w:val="20"/>
      <w:lang w:val="x-none" w:eastAsia="x-none"/>
    </w:rPr>
  </w:style>
  <w:style w:type="character" w:customStyle="1" w:styleId="TALCar">
    <w:name w:val="TAL Car"/>
    <w:link w:val="TAL"/>
    <w:rsid w:val="009728BA"/>
    <w:rPr>
      <w:rFonts w:ascii="Arial" w:hAnsi="Arial"/>
      <w:sz w:val="18"/>
      <w:szCs w:val="20"/>
      <w:lang w:val="x-none" w:eastAsia="x-none"/>
    </w:rPr>
  </w:style>
  <w:style w:type="character" w:customStyle="1" w:styleId="TAHCar">
    <w:name w:val="TAH Car"/>
    <w:link w:val="TAH"/>
    <w:locked/>
    <w:rsid w:val="009728BA"/>
    <w:rPr>
      <w:rFonts w:ascii="Arial" w:hAnsi="Arial"/>
      <w:b/>
      <w:sz w:val="18"/>
      <w:szCs w:val="20"/>
      <w:lang w:val="x-none" w:eastAsia="x-none"/>
    </w:rPr>
  </w:style>
  <w:style w:type="character" w:customStyle="1" w:styleId="B10">
    <w:name w:val="B1 (文字)"/>
    <w:basedOn w:val="DefaultParagraphFont"/>
    <w:qFormat/>
    <w:locked/>
    <w:rsid w:val="00151FE9"/>
    <w:rPr>
      <w:lang w:val="en-GB" w:eastAsia="en-US"/>
    </w:rPr>
  </w:style>
  <w:style w:type="paragraph" w:customStyle="1" w:styleId="EX">
    <w:name w:val="EX"/>
    <w:basedOn w:val="Normal"/>
    <w:rsid w:val="00D722F6"/>
    <w:pPr>
      <w:keepLines/>
      <w:spacing w:after="180"/>
      <w:ind w:left="1702" w:hanging="1418"/>
    </w:pPr>
    <w:rPr>
      <w:rFonts w:eastAsia="SimSun"/>
      <w:szCs w:val="20"/>
      <w:lang w:val="en-GB"/>
    </w:rPr>
  </w:style>
  <w:style w:type="paragraph" w:styleId="TOC1">
    <w:name w:val="toc 1"/>
    <w:aliases w:val="Observation TOC2"/>
    <w:uiPriority w:val="39"/>
    <w:rsid w:val="004D257E"/>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Times New Roman"/>
      <w:b/>
      <w:noProof/>
      <w:sz w:val="20"/>
      <w:lang w:eastAsia="zh-CN"/>
    </w:rPr>
  </w:style>
  <w:style w:type="paragraph" w:customStyle="1" w:styleId="Proposal">
    <w:name w:val="Proposal"/>
    <w:basedOn w:val="Normal"/>
    <w:qFormat/>
    <w:rsid w:val="004D257E"/>
    <w:pPr>
      <w:numPr>
        <w:numId w:val="5"/>
      </w:numPr>
      <w:tabs>
        <w:tab w:val="clear" w:pos="1304"/>
        <w:tab w:val="left" w:pos="1701"/>
      </w:tabs>
      <w:spacing w:after="160" w:line="259" w:lineRule="auto"/>
      <w:ind w:left="1701" w:hanging="1701"/>
    </w:pPr>
    <w:rPr>
      <w:rFonts w:asciiTheme="minorHAnsi" w:eastAsiaTheme="minorHAnsi" w:hAnsiTheme="minorHAnsi" w:cstheme="minorBidi"/>
      <w:b/>
      <w:bCs/>
      <w:sz w:val="22"/>
      <w:szCs w:val="22"/>
    </w:rPr>
  </w:style>
  <w:style w:type="paragraph" w:customStyle="1" w:styleId="PL">
    <w:name w:val="PL"/>
    <w:link w:val="PLChar"/>
    <w:qFormat/>
    <w:rsid w:val="004D25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hAnsi="Courier New"/>
      <w:noProof/>
      <w:sz w:val="16"/>
      <w:szCs w:val="20"/>
      <w:lang w:eastAsia="zh-CN"/>
    </w:rPr>
  </w:style>
  <w:style w:type="character" w:customStyle="1" w:styleId="PLChar">
    <w:name w:val="PL Char"/>
    <w:link w:val="PL"/>
    <w:qFormat/>
    <w:rsid w:val="004D257E"/>
    <w:rPr>
      <w:rFonts w:ascii="Courier New" w:hAnsi="Courier New"/>
      <w:noProof/>
      <w:sz w:val="16"/>
      <w:szCs w:val="20"/>
      <w:lang w:eastAsia="zh-CN"/>
    </w:rPr>
  </w:style>
  <w:style w:type="paragraph" w:customStyle="1" w:styleId="bullet">
    <w:name w:val="bullet"/>
    <w:basedOn w:val="ListParagraph"/>
    <w:link w:val="bulletChar"/>
    <w:qFormat/>
    <w:rsid w:val="006C3B63"/>
    <w:pPr>
      <w:widowControl w:val="0"/>
      <w:numPr>
        <w:numId w:val="41"/>
      </w:numPr>
      <w:jc w:val="both"/>
    </w:pPr>
    <w:rPr>
      <w:kern w:val="2"/>
      <w:lang w:val="en-GB"/>
    </w:rPr>
  </w:style>
  <w:style w:type="character" w:customStyle="1" w:styleId="bulletChar">
    <w:name w:val="bullet Char"/>
    <w:link w:val="bullet"/>
    <w:rsid w:val="006C3B63"/>
    <w:rPr>
      <w:rFonts w:ascii="Times New Roman"/>
      <w:kern w:val="2"/>
      <w:sz w:val="20"/>
      <w:szCs w:val="24"/>
      <w:lang w:val="en-GB"/>
    </w:rPr>
  </w:style>
  <w:style w:type="paragraph" w:customStyle="1" w:styleId="EQ">
    <w:name w:val="EQ"/>
    <w:basedOn w:val="Normal"/>
    <w:next w:val="Normal"/>
    <w:qFormat/>
    <w:rsid w:val="00B36837"/>
    <w:pPr>
      <w:keepLines/>
      <w:tabs>
        <w:tab w:val="center" w:pos="4536"/>
        <w:tab w:val="right" w:pos="9072"/>
      </w:tabs>
      <w:spacing w:after="180"/>
    </w:pPr>
    <w:rPr>
      <w:noProof/>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4891466">
      <w:bodyDiv w:val="1"/>
      <w:marLeft w:val="0"/>
      <w:marRight w:val="0"/>
      <w:marTop w:val="0"/>
      <w:marBottom w:val="0"/>
      <w:divBdr>
        <w:top w:val="none" w:sz="0" w:space="0" w:color="auto"/>
        <w:left w:val="none" w:sz="0" w:space="0" w:color="auto"/>
        <w:bottom w:val="none" w:sz="0" w:space="0" w:color="auto"/>
        <w:right w:val="none" w:sz="0" w:space="0" w:color="auto"/>
      </w:divBdr>
    </w:div>
    <w:div w:id="465662212">
      <w:bodyDiv w:val="1"/>
      <w:marLeft w:val="0"/>
      <w:marRight w:val="0"/>
      <w:marTop w:val="0"/>
      <w:marBottom w:val="0"/>
      <w:divBdr>
        <w:top w:val="none" w:sz="0" w:space="0" w:color="auto"/>
        <w:left w:val="none" w:sz="0" w:space="0" w:color="auto"/>
        <w:bottom w:val="none" w:sz="0" w:space="0" w:color="auto"/>
        <w:right w:val="none" w:sz="0" w:space="0" w:color="auto"/>
      </w:divBdr>
    </w:div>
    <w:div w:id="578171367">
      <w:bodyDiv w:val="1"/>
      <w:marLeft w:val="0"/>
      <w:marRight w:val="0"/>
      <w:marTop w:val="0"/>
      <w:marBottom w:val="0"/>
      <w:divBdr>
        <w:top w:val="none" w:sz="0" w:space="0" w:color="auto"/>
        <w:left w:val="none" w:sz="0" w:space="0" w:color="auto"/>
        <w:bottom w:val="none" w:sz="0" w:space="0" w:color="auto"/>
        <w:right w:val="none" w:sz="0" w:space="0" w:color="auto"/>
      </w:divBdr>
    </w:div>
    <w:div w:id="580484270">
      <w:bodyDiv w:val="1"/>
      <w:marLeft w:val="0"/>
      <w:marRight w:val="0"/>
      <w:marTop w:val="0"/>
      <w:marBottom w:val="0"/>
      <w:divBdr>
        <w:top w:val="none" w:sz="0" w:space="0" w:color="auto"/>
        <w:left w:val="none" w:sz="0" w:space="0" w:color="auto"/>
        <w:bottom w:val="none" w:sz="0" w:space="0" w:color="auto"/>
        <w:right w:val="none" w:sz="0" w:space="0" w:color="auto"/>
      </w:divBdr>
    </w:div>
    <w:div w:id="1209999924">
      <w:bodyDiv w:val="1"/>
      <w:marLeft w:val="0"/>
      <w:marRight w:val="0"/>
      <w:marTop w:val="0"/>
      <w:marBottom w:val="0"/>
      <w:divBdr>
        <w:top w:val="none" w:sz="0" w:space="0" w:color="auto"/>
        <w:left w:val="none" w:sz="0" w:space="0" w:color="auto"/>
        <w:bottom w:val="none" w:sz="0" w:space="0" w:color="auto"/>
        <w:right w:val="none" w:sz="0" w:space="0" w:color="auto"/>
      </w:divBdr>
    </w:div>
    <w:div w:id="1277979355">
      <w:bodyDiv w:val="1"/>
      <w:marLeft w:val="0"/>
      <w:marRight w:val="0"/>
      <w:marTop w:val="0"/>
      <w:marBottom w:val="0"/>
      <w:divBdr>
        <w:top w:val="none" w:sz="0" w:space="0" w:color="auto"/>
        <w:left w:val="none" w:sz="0" w:space="0" w:color="auto"/>
        <w:bottom w:val="none" w:sz="0" w:space="0" w:color="auto"/>
        <w:right w:val="none" w:sz="0" w:space="0" w:color="auto"/>
      </w:divBdr>
    </w:div>
    <w:div w:id="1407075795">
      <w:bodyDiv w:val="1"/>
      <w:marLeft w:val="0"/>
      <w:marRight w:val="0"/>
      <w:marTop w:val="0"/>
      <w:marBottom w:val="0"/>
      <w:divBdr>
        <w:top w:val="none" w:sz="0" w:space="0" w:color="auto"/>
        <w:left w:val="none" w:sz="0" w:space="0" w:color="auto"/>
        <w:bottom w:val="none" w:sz="0" w:space="0" w:color="auto"/>
        <w:right w:val="none" w:sz="0" w:space="0" w:color="auto"/>
      </w:divBdr>
    </w:div>
    <w:div w:id="1684092023">
      <w:bodyDiv w:val="1"/>
      <w:marLeft w:val="0"/>
      <w:marRight w:val="0"/>
      <w:marTop w:val="0"/>
      <w:marBottom w:val="0"/>
      <w:divBdr>
        <w:top w:val="none" w:sz="0" w:space="0" w:color="auto"/>
        <w:left w:val="none" w:sz="0" w:space="0" w:color="auto"/>
        <w:bottom w:val="none" w:sz="0" w:space="0" w:color="auto"/>
        <w:right w:val="none" w:sz="0" w:space="0" w:color="auto"/>
      </w:divBdr>
    </w:div>
    <w:div w:id="19895085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image" Target="media/image9.wmf"/><Relationship Id="rId39" Type="http://schemas.openxmlformats.org/officeDocument/2006/relationships/oleObject" Target="embeddings/oleObject13.bin"/><Relationship Id="rId21" Type="http://schemas.openxmlformats.org/officeDocument/2006/relationships/image" Target="media/image7.wmf"/><Relationship Id="rId34" Type="http://schemas.openxmlformats.org/officeDocument/2006/relationships/image" Target="media/image14.wmf"/><Relationship Id="rId42" Type="http://schemas.openxmlformats.org/officeDocument/2006/relationships/image" Target="media/image18.wmf"/><Relationship Id="rId47" Type="http://schemas.openxmlformats.org/officeDocument/2006/relationships/oleObject" Target="embeddings/oleObject17.bin"/><Relationship Id="rId50" Type="http://schemas.openxmlformats.org/officeDocument/2006/relationships/image" Target="media/image22.wmf"/><Relationship Id="rId55" Type="http://schemas.openxmlformats.org/officeDocument/2006/relationships/image" Target="media/image25.wmf"/><Relationship Id="rId63" Type="http://schemas.openxmlformats.org/officeDocument/2006/relationships/image" Target="media/image31.wmf"/><Relationship Id="rId68" Type="http://schemas.openxmlformats.org/officeDocument/2006/relationships/image" Target="media/image36.wmf"/><Relationship Id="rId76" Type="http://schemas.openxmlformats.org/officeDocument/2006/relationships/image" Target="media/image42.wmf"/><Relationship Id="rId84" Type="http://schemas.openxmlformats.org/officeDocument/2006/relationships/header" Target="header3.xml"/><Relationship Id="rId7" Type="http://schemas.openxmlformats.org/officeDocument/2006/relationships/endnotes" Target="endnotes.xml"/><Relationship Id="rId71" Type="http://schemas.openxmlformats.org/officeDocument/2006/relationships/image" Target="media/image38.wmf"/><Relationship Id="rId2" Type="http://schemas.openxmlformats.org/officeDocument/2006/relationships/numbering" Target="numbering.xml"/><Relationship Id="rId16" Type="http://schemas.openxmlformats.org/officeDocument/2006/relationships/image" Target="media/image5.wmf"/><Relationship Id="rId29" Type="http://schemas.openxmlformats.org/officeDocument/2006/relationships/oleObject" Target="embeddings/oleObject8.bin"/><Relationship Id="rId11" Type="http://schemas.openxmlformats.org/officeDocument/2006/relationships/oleObject" Target="embeddings/oleObject2.bin"/><Relationship Id="rId24" Type="http://schemas.microsoft.com/office/2016/09/relationships/commentsIds" Target="commentsIds.xml"/><Relationship Id="rId32" Type="http://schemas.openxmlformats.org/officeDocument/2006/relationships/image" Target="media/image13.wmf"/><Relationship Id="rId37" Type="http://schemas.openxmlformats.org/officeDocument/2006/relationships/oleObject" Target="embeddings/oleObject12.bin"/><Relationship Id="rId40" Type="http://schemas.openxmlformats.org/officeDocument/2006/relationships/image" Target="media/image17.wmf"/><Relationship Id="rId45" Type="http://schemas.openxmlformats.org/officeDocument/2006/relationships/oleObject" Target="embeddings/oleObject16.bin"/><Relationship Id="rId53" Type="http://schemas.openxmlformats.org/officeDocument/2006/relationships/oleObject" Target="embeddings/oleObject20.bin"/><Relationship Id="rId58" Type="http://schemas.openxmlformats.org/officeDocument/2006/relationships/image" Target="media/image27.wmf"/><Relationship Id="rId66" Type="http://schemas.openxmlformats.org/officeDocument/2006/relationships/image" Target="media/image34.wmf"/><Relationship Id="rId74" Type="http://schemas.openxmlformats.org/officeDocument/2006/relationships/image" Target="media/image40.wmf"/><Relationship Id="rId79" Type="http://schemas.openxmlformats.org/officeDocument/2006/relationships/image" Target="media/image45.wmf"/><Relationship Id="rId87" Type="http://schemas.openxmlformats.org/officeDocument/2006/relationships/theme" Target="theme/theme1.xml"/><Relationship Id="rId5" Type="http://schemas.openxmlformats.org/officeDocument/2006/relationships/webSettings" Target="webSettings.xml"/><Relationship Id="rId61" Type="http://schemas.openxmlformats.org/officeDocument/2006/relationships/image" Target="media/image29.wmf"/><Relationship Id="rId82" Type="http://schemas.openxmlformats.org/officeDocument/2006/relationships/footer" Target="footer1.xml"/><Relationship Id="rId19" Type="http://schemas.openxmlformats.org/officeDocument/2006/relationships/oleObject" Target="embeddings/oleObject6.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comments" Target="comments.xml"/><Relationship Id="rId27" Type="http://schemas.openxmlformats.org/officeDocument/2006/relationships/image" Target="media/image10.wmf"/><Relationship Id="rId30" Type="http://schemas.openxmlformats.org/officeDocument/2006/relationships/image" Target="media/image12.wmf"/><Relationship Id="rId35" Type="http://schemas.openxmlformats.org/officeDocument/2006/relationships/oleObject" Target="embeddings/oleObject11.bin"/><Relationship Id="rId43" Type="http://schemas.openxmlformats.org/officeDocument/2006/relationships/oleObject" Target="embeddings/oleObject15.bin"/><Relationship Id="rId48" Type="http://schemas.openxmlformats.org/officeDocument/2006/relationships/image" Target="media/image21.wmf"/><Relationship Id="rId56" Type="http://schemas.openxmlformats.org/officeDocument/2006/relationships/image" Target="media/image26.wmf"/><Relationship Id="rId64" Type="http://schemas.openxmlformats.org/officeDocument/2006/relationships/image" Target="media/image32.wmf"/><Relationship Id="rId69" Type="http://schemas.openxmlformats.org/officeDocument/2006/relationships/image" Target="media/image37.wmf"/><Relationship Id="rId77" Type="http://schemas.openxmlformats.org/officeDocument/2006/relationships/image" Target="media/image43.wmf"/><Relationship Id="rId8" Type="http://schemas.openxmlformats.org/officeDocument/2006/relationships/image" Target="media/image1.wmf"/><Relationship Id="rId51" Type="http://schemas.openxmlformats.org/officeDocument/2006/relationships/oleObject" Target="embeddings/oleObject19.bin"/><Relationship Id="rId72" Type="http://schemas.openxmlformats.org/officeDocument/2006/relationships/oleObject" Target="embeddings/oleObject24.bin"/><Relationship Id="rId80" Type="http://schemas.openxmlformats.org/officeDocument/2006/relationships/header" Target="header1.xml"/><Relationship Id="rId85" Type="http://schemas.openxmlformats.org/officeDocument/2006/relationships/footer" Target="footer3.xml"/><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image" Target="media/image8.wmf"/><Relationship Id="rId33" Type="http://schemas.openxmlformats.org/officeDocument/2006/relationships/oleObject" Target="embeddings/oleObject10.bin"/><Relationship Id="rId38" Type="http://schemas.openxmlformats.org/officeDocument/2006/relationships/image" Target="media/image16.wmf"/><Relationship Id="rId46" Type="http://schemas.openxmlformats.org/officeDocument/2006/relationships/image" Target="media/image20.wmf"/><Relationship Id="rId59" Type="http://schemas.openxmlformats.org/officeDocument/2006/relationships/oleObject" Target="embeddings/oleObject22.bin"/><Relationship Id="rId67" Type="http://schemas.openxmlformats.org/officeDocument/2006/relationships/image" Target="media/image35.wmf"/><Relationship Id="rId20" Type="http://schemas.openxmlformats.org/officeDocument/2006/relationships/oleObject" Target="embeddings/oleObject7.bin"/><Relationship Id="rId41" Type="http://schemas.openxmlformats.org/officeDocument/2006/relationships/oleObject" Target="embeddings/oleObject14.bin"/><Relationship Id="rId54" Type="http://schemas.openxmlformats.org/officeDocument/2006/relationships/image" Target="media/image24.wmf"/><Relationship Id="rId62" Type="http://schemas.openxmlformats.org/officeDocument/2006/relationships/image" Target="media/image30.wmf"/><Relationship Id="rId70" Type="http://schemas.openxmlformats.org/officeDocument/2006/relationships/oleObject" Target="embeddings/oleObject23.bin"/><Relationship Id="rId75" Type="http://schemas.openxmlformats.org/officeDocument/2006/relationships/image" Target="media/image41.wmf"/><Relationship Id="rId83"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4.bin"/><Relationship Id="rId23" Type="http://schemas.microsoft.com/office/2011/relationships/commentsExtended" Target="commentsExtended.xml"/><Relationship Id="rId28" Type="http://schemas.openxmlformats.org/officeDocument/2006/relationships/image" Target="media/image11.wmf"/><Relationship Id="rId36" Type="http://schemas.openxmlformats.org/officeDocument/2006/relationships/image" Target="media/image15.wmf"/><Relationship Id="rId49" Type="http://schemas.openxmlformats.org/officeDocument/2006/relationships/oleObject" Target="embeddings/oleObject18.bin"/><Relationship Id="rId57" Type="http://schemas.openxmlformats.org/officeDocument/2006/relationships/oleObject" Target="embeddings/oleObject21.bin"/><Relationship Id="rId10" Type="http://schemas.openxmlformats.org/officeDocument/2006/relationships/image" Target="media/image2.wmf"/><Relationship Id="rId31" Type="http://schemas.openxmlformats.org/officeDocument/2006/relationships/oleObject" Target="embeddings/oleObject9.bin"/><Relationship Id="rId44" Type="http://schemas.openxmlformats.org/officeDocument/2006/relationships/image" Target="media/image19.wmf"/><Relationship Id="rId52" Type="http://schemas.openxmlformats.org/officeDocument/2006/relationships/image" Target="media/image23.wmf"/><Relationship Id="rId60" Type="http://schemas.openxmlformats.org/officeDocument/2006/relationships/image" Target="media/image28.wmf"/><Relationship Id="rId65" Type="http://schemas.openxmlformats.org/officeDocument/2006/relationships/image" Target="media/image33.wmf"/><Relationship Id="rId73" Type="http://schemas.openxmlformats.org/officeDocument/2006/relationships/image" Target="media/image39.wmf"/><Relationship Id="rId78" Type="http://schemas.openxmlformats.org/officeDocument/2006/relationships/image" Target="media/image44.wmf"/><Relationship Id="rId81" Type="http://schemas.openxmlformats.org/officeDocument/2006/relationships/header" Target="header2.xml"/><Relationship Id="rId8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834C13-891F-4475-9B6E-2908CBA3EE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783</Words>
  <Characters>4155</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2018-08-07T13:40:00Z</dcterms:created>
  <dcterms:modified xsi:type="dcterms:W3CDTF">2018-08-10T14:00:00Z</dcterms:modified>
</cp:coreProperties>
</file>